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43200</wp:posOffset>
            </wp:positionH>
            <wp:positionV relativeFrom="page">
              <wp:posOffset>43200</wp:posOffset>
            </wp:positionV>
            <wp:extent cx="7545070" cy="10658907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589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Li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ma, 11 de julio d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 2026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res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BACKUP ENERGY SOLUTIONS (BES), S.R.L.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Presente. -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Atención</w:t>
        <w:tab/>
        <w:tab/>
        <w:t xml:space="preserve">:</w:t>
        <w:tab/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Sr. Milton Gomez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Asunto</w:t>
        <w:tab/>
        <w:tab/>
        <w:t xml:space="preserve">:</w:t>
        <w:tab/>
        <w:t xml:space="preserve">Propuesta de Adquisición Inmobiliaria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De mi especial consideración: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Es un gusto saludarlo. A través de la presente, me permito hacerle llegar nuestra propuesta formal de adquisición respecto al inmueble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 ubicado en Av. John F. Kennedy esq. Av. Prol. Núñez de Cáceres, Distrito Nacional, República Dominicana (Matrícula No. 0100217982 / Designación Catastral 309483369222 y Matrícula No. 0100217981 /Designación Catastral 309483367338)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Luego de una evaluación preliminar de la documentación proporcionada, hemos concluido que la propiedad con un área aproximada d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e 3,130.85 m2,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presenta características estratégicas que se ajustan al perfil de ubicación requerido para el desarrollo de un proyecto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 comercial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 ese sentido, presentamos nuestra propuesta de adquisición bajo los siguientes términos y condiciones: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PROPUESTA ECONÓMICA 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Precio de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Compra: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US $4,382,000.00 (Cuatro millones trescientos ochenta y dos mil y  00/100 dólares americanos) aproximadamente US$ 1,400 por m2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Estructura y Modalidad de pago: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spacing w:after="0" w:line="276" w:lineRule="auto"/>
        <w:ind w:left="1440" w:hanging="360"/>
        <w:jc w:val="both"/>
        <w:rPr>
          <w:rFonts w:ascii="Quattrocento Sans" w:cs="Quattrocento Sans" w:eastAsia="Quattrocento Sans" w:hAnsi="Quattrocento Sans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Firma de la escritura Compraventa y cancelación del precio total al contado con un plazo</w:t>
      </w:r>
    </w:p>
    <w:p w:rsidR="00000000" w:rsidDel="00000000" w:rsidP="00000000" w:rsidRDefault="00000000" w:rsidRPr="00000000" w14:paraId="0000001A">
      <w:pPr>
        <w:spacing w:after="0" w:line="276" w:lineRule="auto"/>
        <w:ind w:left="1440" w:firstLine="0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máximo de 90 (noventa) días calendario.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CONDICIONES DE LA OPERACIÓN: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Entrega de Certificados: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Cinco (5) días hábiles antes de la firma de la Opción de Compra, los propietarios deberán hacer entrega del Certificado de Parámetros Urbanísticos y Edificatorios, y el Certificado de Zonificación y Vías vigentes.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Situación del Inmueble: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El predio no debe estar declarado ni en proceso de declaración como patrimonio cultural.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Apoyo en Gestiones: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Los otorgantes se comprometen a suscribir todos los documentos y solicitudes necesarios para la aprobación del anteproyecto en consulta ante la municipalidad competente.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Saneamiento Legal: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El inmueble deberá contar con título inscrito y saneado, libre de cargas, gravámenes, embargos, litigios o cualquier limitación que afecte su libre disponibilidad y transferencia</w:t>
      </w: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la fecha del ejercicio de opción de compra.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Obligaciones Tributarias: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Todos los tributos municipales (impuesto predial y arbitrios), tasas y aportes vinculados al predio deberán estar totalmente cancelados a la fecha de la firma de la Compraventa.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Entrega de Documentación: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Durante la vigencia de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l plazo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realizaremos Due Diligence legal, comercial y técnica, para lo cual los otorgantes facilitarán toda la información requerida sobre el inmueble y/o sus titulares.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43200</wp:posOffset>
            </wp:positionH>
            <wp:positionV relativeFrom="page">
              <wp:posOffset>43200</wp:posOffset>
            </wp:positionV>
            <wp:extent cx="7545070" cy="10658907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589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Acceso al Predio: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Se requerirá acceso regular al inmueble durante la vigencia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del plazo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para realizar estudios técnicos y evaluaciones de desarrollo.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Sin otro particular, quedamos a su entera disposición para coordinar una reunión, con el objetivo de ampliar cualquier aspecto de la presente propuesta.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Atentamente,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-123822</wp:posOffset>
            </wp:positionH>
            <wp:positionV relativeFrom="paragraph">
              <wp:posOffset>302238</wp:posOffset>
            </wp:positionV>
            <wp:extent cx="1060324" cy="966073"/>
            <wp:effectExtent b="115632" l="102583" r="102583" t="115632"/>
            <wp:wrapNone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 rot="854949">
                      <a:off x="0" y="0"/>
                      <a:ext cx="1060324" cy="9660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Arq. Andres Cortez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Ejecutivo de área de expansión </w:t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GRUPO ECOPLAZA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ccortez@ecoplaza.com.pe</w:t>
      </w:r>
    </w:p>
    <w:p w:rsidR="00000000" w:rsidDel="00000000" w:rsidP="00000000" w:rsidRDefault="00000000" w:rsidRPr="00000000" w14:paraId="00000037">
      <w:pPr>
        <w:spacing w:after="0" w:line="240" w:lineRule="auto"/>
        <w:jc w:val="both"/>
        <w:rPr>
          <w:rFonts w:ascii="Quattrocento Sans" w:cs="Quattrocento Sans" w:eastAsia="Quattrocento Sans" w:hAnsi="Quattrocento Sans"/>
          <w:b w:val="1"/>
          <w:bCs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Cel: +51 920 675 018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sz w:val="21"/>
          <w:szCs w:val="21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985" w:top="1985" w:left="1701" w:right="17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Quattrocento Sans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  <w:font w:name="Noto Sans Symbols">
    <w:embedRegular w:fontKey="{00000000-0000-0000-0000-000000000000}" r:id="rId11" w:subsetted="0"/>
    <w:embedBold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lowerLetter"/>
      <w:lvlText w:val="%1)"/>
      <w:lvlJc w:val="left"/>
      <w:pPr>
        <w:ind w:left="1080" w:hanging="72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s-PE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11" Type="http://schemas.openxmlformats.org/officeDocument/2006/relationships/font" Target="fonts/NotoSansSymbols-regular.ttf"/><Relationship Id="rId10" Type="http://schemas.openxmlformats.org/officeDocument/2006/relationships/font" Target="fonts/QuattrocentoSans-boldItalic.ttf"/><Relationship Id="rId12" Type="http://schemas.openxmlformats.org/officeDocument/2006/relationships/font" Target="fonts/NotoSansSymbols-bold.ttf"/><Relationship Id="rId9" Type="http://schemas.openxmlformats.org/officeDocument/2006/relationships/font" Target="fonts/QuattrocentoSans-italic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Relationship Id="rId7" Type="http://schemas.openxmlformats.org/officeDocument/2006/relationships/font" Target="fonts/QuattrocentoSans-regular.ttf"/><Relationship Id="rId8" Type="http://schemas.openxmlformats.org/officeDocument/2006/relationships/font" Target="fonts/QuattrocentoSan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yf7CMC3GM96sIEfJb8HCJjDzYg==">CgMxLjA4AHIhMVBkUnZHVjRaaEFNNzFIOHJtQ0UwakROZmFpVGk0YW5n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