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LOS ANDES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SR. WILLY MATEO CISNEROS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Psje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Travezan con Calle Real, El Tambo, Huancayo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ada de 2 243.40 m² ins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crita en la partida registral N° 02014137, con frente a Calle Real presenta características estratégicas que se ajustan al perfil de ubicación requerido para el desarrollo de un proyecto comercial.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1’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682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(Un millón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seiscientos ochenta y dos mil quinientos cincuenta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sesenta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V. En caso de que la Empresa no haga efectiva la opción o no concrete la compraventa por razones imputables a su voluntad o incumplimiento, dichas arras quedarán a favor del Propietario como compensación por los perjuicios generados.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106934</wp:posOffset>
            </wp:positionV>
            <wp:extent cx="1284172" cy="866307"/>
            <wp:effectExtent b="0" l="0" r="0" t="0"/>
            <wp:wrapSquare wrapText="bothSides" distB="0" distT="0" distL="114300" distR="114300"/>
            <wp:docPr id="177815300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wUPKQxoiHhO6AoTJqlVj3EeVQ==">CgMxLjA4AHIhMWZaY0U3aWR5M25ndXBjbG1CU3BHd1ljblk4WUtzNVpy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