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sz w:val="21"/>
          <w:szCs w:val="21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posOffset>43200</wp:posOffset>
            </wp:positionH>
            <wp:positionV relativeFrom="page">
              <wp:posOffset>43200</wp:posOffset>
            </wp:positionV>
            <wp:extent cx="7545070" cy="10658907"/>
            <wp:effectExtent b="0" l="0" r="0" t="0"/>
            <wp:wrapNone/>
            <wp:docPr id="1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45070" cy="10658907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Li</w:t>
      </w:r>
      <w:r w:rsidDel="00000000" w:rsidR="00000000" w:rsidRPr="00000000">
        <w:rPr>
          <w:rFonts w:ascii="Arial Narrow" w:cs="Arial Narrow" w:eastAsia="Arial Narrow" w:hAnsi="Arial Narrow"/>
          <w:b w:val="1"/>
          <w:bCs w:val="1"/>
          <w:sz w:val="21"/>
          <w:szCs w:val="21"/>
          <w:rtl w:val="0"/>
        </w:rPr>
        <w:t xml:space="preserve">ma, 22 de julio d</w:t>
      </w:r>
      <w:r w:rsidDel="00000000" w:rsidR="00000000" w:rsidRPr="00000000"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e 2026 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sz w:val="21"/>
          <w:szCs w:val="21"/>
          <w:rtl w:val="0"/>
        </w:rPr>
        <w:t xml:space="preserve">Sres.</w:t>
      </w:r>
      <w:r w:rsidDel="00000000" w:rsidR="00000000" w:rsidRPr="00000000"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:</w:t>
      </w:r>
    </w:p>
    <w:p w:rsidR="00000000" w:rsidDel="00000000" w:rsidP="00000000" w:rsidRDefault="00000000" w:rsidRPr="00000000" w14:paraId="00000006">
      <w:pPr>
        <w:spacing w:after="0" w:line="240" w:lineRule="auto"/>
        <w:rPr>
          <w:rFonts w:ascii="Arial Narrow" w:cs="Arial Narrow" w:eastAsia="Arial Narrow" w:hAnsi="Arial Narrow"/>
          <w:sz w:val="21"/>
          <w:szCs w:val="21"/>
        </w:rPr>
      </w:pPr>
      <w:r w:rsidDel="00000000" w:rsidR="00000000" w:rsidRPr="00000000">
        <w:rPr>
          <w:rFonts w:ascii="Arial Narrow" w:cs="Arial Narrow" w:eastAsia="Arial Narrow" w:hAnsi="Arial Narrow"/>
          <w:sz w:val="21"/>
          <w:szCs w:val="21"/>
          <w:rtl w:val="0"/>
        </w:rPr>
        <w:t xml:space="preserve">FAM. ZEGARRA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Presente. -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Atención</w:t>
        <w:tab/>
        <w:tab/>
        <w:t xml:space="preserve">:</w:t>
        <w:tab/>
      </w:r>
      <w:r w:rsidDel="00000000" w:rsidR="00000000" w:rsidRPr="00000000">
        <w:rPr>
          <w:rFonts w:ascii="Arial Narrow" w:cs="Arial Narrow" w:eastAsia="Arial Narrow" w:hAnsi="Arial Narrow"/>
          <w:sz w:val="21"/>
          <w:szCs w:val="21"/>
          <w:rtl w:val="0"/>
        </w:rPr>
        <w:t xml:space="preserve">Paula Casanova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vertAlign w:val="baseline"/>
          <w:rtl w:val="0"/>
        </w:rPr>
        <w:t xml:space="preserve">Asunto</w:t>
        <w:tab/>
        <w:tab/>
        <w:t xml:space="preserve">:</w:t>
        <w:tab/>
        <w:t xml:space="preserve">Propuesta de Adquisición Inmobiliaria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vertAlign w:val="baseline"/>
          <w:rtl w:val="0"/>
        </w:rPr>
        <w:t xml:space="preserve">De mi especial consideración: 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vertAlign w:val="baseline"/>
          <w:rtl w:val="0"/>
        </w:rPr>
        <w:t xml:space="preserve">Es un gusto saludarlo. A través de la presente, me permito hacerle llegar nuestra propuesta formal de adquisición respecto al inmueble</w:t>
      </w:r>
      <w:r w:rsidDel="00000000" w:rsidR="00000000" w:rsidRPr="00000000">
        <w:rPr>
          <w:rFonts w:ascii="Arial Narrow" w:cs="Arial Narrow" w:eastAsia="Arial Narrow" w:hAnsi="Arial Narrow"/>
          <w:sz w:val="21"/>
          <w:szCs w:val="21"/>
          <w:rtl w:val="0"/>
        </w:rPr>
        <w:t xml:space="preserve"> ubicado en Av. Collasuyo 2964, Distrito de Cusco,Provincia de Cusco, Departamento del Cusco, inscrit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vertAlign w:val="baseline"/>
          <w:rtl w:val="0"/>
        </w:rPr>
        <w:t xml:space="preserve">o en la Partida Electrónica </w:t>
      </w:r>
      <w:r w:rsidDel="00000000" w:rsidR="00000000" w:rsidRPr="00000000">
        <w:rPr>
          <w:rFonts w:ascii="Arial Narrow" w:cs="Arial Narrow" w:eastAsia="Arial Narrow" w:hAnsi="Arial Narrow"/>
          <w:sz w:val="21"/>
          <w:szCs w:val="21"/>
          <w:rtl w:val="0"/>
        </w:rPr>
        <w:t xml:space="preserve">N° 11008045 de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vertAlign w:val="baseline"/>
          <w:rtl w:val="0"/>
        </w:rPr>
        <w:t xml:space="preserve">l registro de bienes inmuebles de</w:t>
      </w:r>
      <w:r w:rsidDel="00000000" w:rsidR="00000000" w:rsidRPr="00000000">
        <w:rPr>
          <w:rFonts w:ascii="Arial Narrow" w:cs="Arial Narrow" w:eastAsia="Arial Narrow" w:hAnsi="Arial Narrow"/>
          <w:sz w:val="21"/>
          <w:szCs w:val="21"/>
          <w:rtl w:val="0"/>
        </w:rPr>
        <w:t xml:space="preserve"> Cusco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vertAlign w:val="baseline"/>
          <w:rtl w:val="0"/>
        </w:rPr>
        <w:t xml:space="preserve">Luego de una evaluación preliminar de la documentación proporcionada, hemos concluido que la propiedad con un área aproximada d</w:t>
      </w:r>
      <w:r w:rsidDel="00000000" w:rsidR="00000000" w:rsidRPr="00000000">
        <w:rPr>
          <w:rFonts w:ascii="Arial Narrow" w:cs="Arial Narrow" w:eastAsia="Arial Narrow" w:hAnsi="Arial Narrow"/>
          <w:sz w:val="21"/>
          <w:szCs w:val="21"/>
          <w:rtl w:val="0"/>
        </w:rPr>
        <w:t xml:space="preserve">e 2,723 m2,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vertAlign w:val="baseline"/>
          <w:rtl w:val="0"/>
        </w:rPr>
        <w:t xml:space="preserve"> 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presenta características estratégicas que se ajustan al perfil de ubicación requerido para el desarrollo de un proyect</w:t>
      </w:r>
      <w:r w:rsidDel="00000000" w:rsidR="00000000" w:rsidRPr="00000000">
        <w:rPr>
          <w:rFonts w:ascii="Arial Narrow" w:cs="Arial Narrow" w:eastAsia="Arial Narrow" w:hAnsi="Arial Narrow"/>
          <w:sz w:val="21"/>
          <w:szCs w:val="21"/>
          <w:rtl w:val="0"/>
        </w:rPr>
        <w:t xml:space="preserve">o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 Narrow" w:cs="Arial Narrow" w:eastAsia="Arial Narrow" w:hAnsi="Arial Narrow"/>
          <w:sz w:val="21"/>
          <w:szCs w:val="21"/>
          <w:rtl w:val="0"/>
        </w:rPr>
        <w:t xml:space="preserve">comercial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En ese sentido, presentamos nuestra propuesta de adquisición bajo los siguientes términos y condiciones: 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hanging="284"/>
        <w:jc w:val="left"/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PROPUESTA ECONÓMICA  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firstLine="0"/>
        <w:jc w:val="left"/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Precio de</w:t>
      </w:r>
      <w:r w:rsidDel="00000000" w:rsidR="00000000" w:rsidRPr="00000000"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vertAlign w:val="baseline"/>
          <w:rtl w:val="0"/>
        </w:rPr>
        <w:t xml:space="preserve"> Compra: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vertAlign w:val="baseline"/>
          <w:rtl w:val="0"/>
        </w:rPr>
        <w:t xml:space="preserve"> </w:t>
      </w:r>
      <w:r w:rsidDel="00000000" w:rsidR="00000000" w:rsidRPr="00000000">
        <w:rPr>
          <w:rFonts w:ascii="Arial Narrow" w:cs="Arial Narrow" w:eastAsia="Arial Narrow" w:hAnsi="Arial Narrow"/>
          <w:sz w:val="21"/>
          <w:szCs w:val="21"/>
          <w:rtl w:val="0"/>
        </w:rPr>
        <w:t xml:space="preserve">US $5,446,000.00 (Cinco millones cuatrocientos cuarenta y seis mil y  00/100 dólares americanos). Aproximadamente US $ 2,000 por m2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Arial Narrow" w:cs="Arial Narrow" w:eastAsia="Arial Narrow" w:hAnsi="Arial Narrow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vertAlign w:val="baseline"/>
          <w:rtl w:val="0"/>
        </w:rPr>
        <w:t xml:space="preserve">Estructura y Modalidad de pago: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 Narrow" w:cs="Arial Narrow" w:eastAsia="Arial Narrow" w:hAnsi="Arial Narrow"/>
          <w:b w:val="1"/>
          <w:bCs w:val="1"/>
          <w:sz w:val="21"/>
          <w:szCs w:val="21"/>
          <w:u w:val="no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numPr>
          <w:ilvl w:val="1"/>
          <w:numId w:val="2"/>
        </w:numPr>
        <w:spacing w:after="0" w:line="276" w:lineRule="auto"/>
        <w:ind w:left="1440" w:hanging="360"/>
        <w:jc w:val="both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Arial Narrow" w:cs="Arial Narrow" w:eastAsia="Arial Narrow" w:hAnsi="Arial Narrow"/>
          <w:sz w:val="21"/>
          <w:szCs w:val="21"/>
          <w:rtl w:val="0"/>
        </w:rPr>
        <w:t xml:space="preserve">Firma de la escritura Compraventa y cancelación del precio total al contado con un plazo máximo de 6 meses.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numPr>
          <w:ilvl w:val="1"/>
          <w:numId w:val="2"/>
        </w:numPr>
        <w:spacing w:after="0" w:line="276" w:lineRule="auto"/>
        <w:ind w:left="1440" w:hanging="360"/>
        <w:jc w:val="both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Arial Narrow" w:cs="Arial Narrow" w:eastAsia="Arial Narrow" w:hAnsi="Arial Narrow"/>
          <w:sz w:val="21"/>
          <w:szCs w:val="21"/>
          <w:rtl w:val="0"/>
        </w:rPr>
        <w:t xml:space="preserve">Firma de minuta  con el monto de USD $ 100,000 (cien mil 00/100 dólares americanos)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numPr>
          <w:ilvl w:val="1"/>
          <w:numId w:val="2"/>
        </w:numPr>
        <w:spacing w:after="0" w:line="276" w:lineRule="auto"/>
        <w:ind w:left="1440" w:hanging="360"/>
        <w:jc w:val="both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Arial Narrow" w:cs="Arial Narrow" w:eastAsia="Arial Narrow" w:hAnsi="Arial Narrow"/>
          <w:sz w:val="21"/>
          <w:szCs w:val="21"/>
          <w:rtl w:val="0"/>
        </w:rPr>
        <w:t xml:space="preserve">Al mes 6, firma de la Escritura de Compraventa y cancelación del saldo del precio total.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hanging="284"/>
        <w:jc w:val="left"/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CONDICIONES DE LA OPERACIÓN: 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firstLine="0"/>
        <w:jc w:val="left"/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9" w:right="0" w:hanging="349"/>
        <w:jc w:val="both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Entrega de Certificados: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Cinco (5) días hábiles antes de la firma de la Opción de Compra, los propietarios deberán hacer entrega del Certificado de Parámetros Urbanísticos y Edificatorios, y el Certificado de Zonificación y Vías vigentes.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9" w:right="0" w:hanging="349"/>
        <w:jc w:val="both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Situación del Inmueble: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El predio no debe estar declarado ni en proceso de declaración como patrimonio cultural.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9" w:right="0" w:hanging="349"/>
        <w:jc w:val="both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Apoyo en Gestiones: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Los otorgantes se comprometen a suscribir todos los documentos y solicitudes necesarios para la aprobación del anteproyecto en consulta ante la municipalidad competente.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9" w:right="0" w:hanging="349"/>
        <w:jc w:val="both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Saneamiento Legal: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El inmueble deberá contar con título inscrito y saneado, libre de cargas, gravámenes, embargos, litigios o cualquier limitación que afecte su libre disponibilidad y transferencia</w:t>
      </w: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a la fecha del ejercicio de opción de compra. 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9" w:right="0" w:hanging="349"/>
        <w:jc w:val="both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Obligaciones Tributarias: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Todos los tributos municipales (impuesto predial y arbitrios), tasas y aportes vinculados al predio deberán estar totalmente cancelados a la fecha de la firma de la Compraventa. 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9" w:right="0" w:hanging="349"/>
        <w:jc w:val="both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Entrega de Documentación: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Durante la vigencia de</w:t>
      </w:r>
      <w:r w:rsidDel="00000000" w:rsidR="00000000" w:rsidRPr="00000000">
        <w:rPr>
          <w:rFonts w:ascii="Arial Narrow" w:cs="Arial Narrow" w:eastAsia="Arial Narrow" w:hAnsi="Arial Narrow"/>
          <w:sz w:val="21"/>
          <w:szCs w:val="21"/>
          <w:rtl w:val="0"/>
        </w:rPr>
        <w:t xml:space="preserve">l plazo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, realizaremos Due Diligence legal, comercial y técnica, para lo cual los otorgantes facilitarán toda la información requerida sobre el inmueble y/o sus titulares.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9" w:right="0" w:hanging="349"/>
        <w:jc w:val="both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sz w:val="21"/>
          <w:szCs w:val="21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posOffset>43200</wp:posOffset>
            </wp:positionH>
            <wp:positionV relativeFrom="page">
              <wp:posOffset>43200</wp:posOffset>
            </wp:positionV>
            <wp:extent cx="7545070" cy="10658907"/>
            <wp:effectExtent b="0" l="0" r="0" t="0"/>
            <wp:wrapNone/>
            <wp:docPr id="2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45070" cy="10658907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Acceso al Predio: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Se requerirá acceso regular al inmueble durante la vigencia </w:t>
      </w:r>
      <w:r w:rsidDel="00000000" w:rsidR="00000000" w:rsidRPr="00000000">
        <w:rPr>
          <w:rFonts w:ascii="Arial Narrow" w:cs="Arial Narrow" w:eastAsia="Arial Narrow" w:hAnsi="Arial Narrow"/>
          <w:sz w:val="21"/>
          <w:szCs w:val="21"/>
          <w:rtl w:val="0"/>
        </w:rPr>
        <w:t xml:space="preserve">del plazo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para realizar estudios técnicos y evaluaciones de desarrollo.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firstLine="0"/>
        <w:jc w:val="both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both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Sin otro particular, quedamos a su entera disposición para coordinar una reunión, con el objetivo de ampliar cualquier aspecto de la presente propuesta.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center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Atentamente,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center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-123822</wp:posOffset>
            </wp:positionH>
            <wp:positionV relativeFrom="paragraph">
              <wp:posOffset>302238</wp:posOffset>
            </wp:positionV>
            <wp:extent cx="1060324" cy="966073"/>
            <wp:effectExtent b="115632" l="102583" r="102583" t="115632"/>
            <wp:wrapNone/>
            <wp:docPr id="3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 rot="854949">
                      <a:off x="0" y="0"/>
                      <a:ext cx="1060324" cy="966073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after="0" w:line="240" w:lineRule="auto"/>
        <w:jc w:val="both"/>
        <w:rPr>
          <w:rFonts w:ascii="Arial Narrow" w:cs="Arial Narrow" w:eastAsia="Arial Narrow" w:hAnsi="Arial Narrow"/>
          <w:b w:val="1"/>
          <w:bCs w:val="1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after="0" w:line="240" w:lineRule="auto"/>
        <w:jc w:val="both"/>
        <w:rPr>
          <w:rFonts w:ascii="Arial Narrow" w:cs="Arial Narrow" w:eastAsia="Arial Narrow" w:hAnsi="Arial Narrow"/>
          <w:b w:val="1"/>
          <w:bCs w:val="1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after="0" w:line="240" w:lineRule="auto"/>
        <w:jc w:val="both"/>
        <w:rPr>
          <w:rFonts w:ascii="Arial Narrow" w:cs="Arial Narrow" w:eastAsia="Arial Narrow" w:hAnsi="Arial Narrow"/>
          <w:b w:val="1"/>
          <w:bCs w:val="1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after="0" w:line="240" w:lineRule="auto"/>
        <w:jc w:val="both"/>
        <w:rPr>
          <w:rFonts w:ascii="Arial Narrow" w:cs="Arial Narrow" w:eastAsia="Arial Narrow" w:hAnsi="Arial Narrow"/>
          <w:b w:val="1"/>
          <w:bCs w:val="1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after="0" w:line="240" w:lineRule="auto"/>
        <w:jc w:val="both"/>
        <w:rPr>
          <w:rFonts w:ascii="Arial Narrow" w:cs="Arial Narrow" w:eastAsia="Arial Narrow" w:hAnsi="Arial Narrow"/>
          <w:b w:val="1"/>
          <w:bCs w:val="1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after="0" w:line="240" w:lineRule="auto"/>
        <w:jc w:val="both"/>
        <w:rPr>
          <w:rFonts w:ascii="Arial Narrow" w:cs="Arial Narrow" w:eastAsia="Arial Narrow" w:hAnsi="Arial Narrow"/>
          <w:b w:val="1"/>
          <w:bCs w:val="1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after="0" w:line="240" w:lineRule="auto"/>
        <w:jc w:val="both"/>
        <w:rPr>
          <w:rFonts w:ascii="Arial Narrow" w:cs="Arial Narrow" w:eastAsia="Arial Narrow" w:hAnsi="Arial Narrow"/>
          <w:b w:val="1"/>
          <w:bCs w:val="1"/>
          <w:sz w:val="21"/>
          <w:szCs w:val="21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sz w:val="21"/>
          <w:szCs w:val="21"/>
          <w:rtl w:val="0"/>
        </w:rPr>
        <w:t xml:space="preserve">Arq. Andres Cortez</w:t>
      </w:r>
    </w:p>
    <w:p w:rsidR="00000000" w:rsidDel="00000000" w:rsidP="00000000" w:rsidRDefault="00000000" w:rsidRPr="00000000" w14:paraId="00000033">
      <w:pPr>
        <w:spacing w:after="0" w:line="240" w:lineRule="auto"/>
        <w:jc w:val="both"/>
        <w:rPr>
          <w:rFonts w:ascii="Arial Narrow" w:cs="Arial Narrow" w:eastAsia="Arial Narrow" w:hAnsi="Arial Narrow"/>
          <w:sz w:val="21"/>
          <w:szCs w:val="21"/>
        </w:rPr>
      </w:pPr>
      <w:r w:rsidDel="00000000" w:rsidR="00000000" w:rsidRPr="00000000">
        <w:rPr>
          <w:rFonts w:ascii="Arial Narrow" w:cs="Arial Narrow" w:eastAsia="Arial Narrow" w:hAnsi="Arial Narrow"/>
          <w:sz w:val="21"/>
          <w:szCs w:val="21"/>
          <w:rtl w:val="0"/>
        </w:rPr>
        <w:t xml:space="preserve">Ejecutivo de área de expansión </w:t>
      </w:r>
    </w:p>
    <w:p w:rsidR="00000000" w:rsidDel="00000000" w:rsidP="00000000" w:rsidRDefault="00000000" w:rsidRPr="00000000" w14:paraId="00000034">
      <w:pPr>
        <w:spacing w:after="0" w:line="240" w:lineRule="auto"/>
        <w:jc w:val="both"/>
        <w:rPr>
          <w:rFonts w:ascii="Arial Narrow" w:cs="Arial Narrow" w:eastAsia="Arial Narrow" w:hAnsi="Arial Narrow"/>
          <w:b w:val="1"/>
          <w:bCs w:val="1"/>
          <w:sz w:val="21"/>
          <w:szCs w:val="21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sz w:val="21"/>
          <w:szCs w:val="21"/>
          <w:rtl w:val="0"/>
        </w:rPr>
        <w:t xml:space="preserve">GRUPO ECOPLAZA</w:t>
      </w:r>
    </w:p>
    <w:p w:rsidR="00000000" w:rsidDel="00000000" w:rsidP="00000000" w:rsidRDefault="00000000" w:rsidRPr="00000000" w14:paraId="00000035">
      <w:pPr>
        <w:spacing w:after="0" w:line="240" w:lineRule="auto"/>
        <w:jc w:val="both"/>
        <w:rPr>
          <w:rFonts w:ascii="Arial Narrow" w:cs="Arial Narrow" w:eastAsia="Arial Narrow" w:hAnsi="Arial Narrow"/>
          <w:sz w:val="21"/>
          <w:szCs w:val="21"/>
        </w:rPr>
      </w:pPr>
      <w:r w:rsidDel="00000000" w:rsidR="00000000" w:rsidRPr="00000000">
        <w:rPr>
          <w:rFonts w:ascii="Arial Narrow" w:cs="Arial Narrow" w:eastAsia="Arial Narrow" w:hAnsi="Arial Narrow"/>
          <w:sz w:val="21"/>
          <w:szCs w:val="21"/>
          <w:rtl w:val="0"/>
        </w:rPr>
        <w:t xml:space="preserve">ccortez@ecoplaza.com.pe</w:t>
      </w:r>
    </w:p>
    <w:p w:rsidR="00000000" w:rsidDel="00000000" w:rsidP="00000000" w:rsidRDefault="00000000" w:rsidRPr="00000000" w14:paraId="00000036">
      <w:pPr>
        <w:spacing w:after="0" w:line="240" w:lineRule="auto"/>
        <w:jc w:val="both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Fonts w:ascii="Arial Narrow" w:cs="Arial Narrow" w:eastAsia="Arial Narrow" w:hAnsi="Arial Narrow"/>
          <w:sz w:val="21"/>
          <w:szCs w:val="21"/>
          <w:rtl w:val="0"/>
        </w:rPr>
        <w:t xml:space="preserve">Cel: +51 920 675 018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 Narrow" w:cs="Arial Narrow" w:eastAsia="Arial Narrow" w:hAnsi="Arial Narrow"/>
          <w:sz w:val="21"/>
          <w:szCs w:val="21"/>
          <w:highlight w:val="lightGray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985" w:top="1985" w:left="1701" w:right="170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ourier New"/>
  <w:font w:name="Aptos"/>
  <w:font w:name="Play">
    <w:embedRegular w:fontKey="{00000000-0000-0000-0000-000000000000}" r:id="rId1" w:subsetted="0"/>
    <w:embedBold w:fontKey="{00000000-0000-0000-0000-000000000000}" r:id="rId2" w:subsetted="0"/>
  </w:font>
  <w:font w:name="Arial Narrow">
    <w:embedRegular w:fontKey="{00000000-0000-0000-0000-000000000000}" r:id="rId3" w:subsetted="0"/>
    <w:embedBold w:fontKey="{00000000-0000-0000-0000-000000000000}" r:id="rId4" w:subsetted="0"/>
    <w:embedItalic w:fontKey="{00000000-0000-0000-0000-000000000000}" r:id="rId5" w:subsetted="0"/>
    <w:embedBoldItalic w:fontKey="{00000000-0000-0000-0000-000000000000}" r:id="rId6" w:subsetted="0"/>
  </w:font>
  <w:font w:name="Quattrocento Sans">
    <w:embedRegular w:fontKey="{00000000-0000-0000-0000-000000000000}" r:id="rId7" w:subsetted="0"/>
    <w:embedBold w:fontKey="{00000000-0000-0000-0000-000000000000}" r:id="rId8" w:subsetted="0"/>
    <w:embedItalic w:fontKey="{00000000-0000-0000-0000-000000000000}" r:id="rId9" w:subsetted="0"/>
    <w:embedBoldItalic w:fontKey="{00000000-0000-0000-0000-000000000000}" r:id="rId10" w:subsetted="0"/>
  </w:font>
  <w:font w:name="Noto Sans Symbols">
    <w:embedRegular w:fontKey="{00000000-0000-0000-0000-000000000000}" r:id="rId11" w:subsetted="0"/>
    <w:embedBold w:fontKey="{00000000-0000-0000-0000-000000000000}" r:id="rId1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lowerLetter"/>
      <w:lvlText w:val="%1)"/>
      <w:lvlJc w:val="left"/>
      <w:pPr>
        <w:ind w:left="1080" w:hanging="720"/>
      </w:pPr>
      <w:rPr>
        <w:b w:val="1"/>
        <w:bCs w:val="1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4"/>
        <w:szCs w:val="24"/>
        <w:lang w:val="es-PE"/>
      </w:rPr>
    </w:rPrDefault>
    <w:pPrDefault>
      <w:pPr>
        <w:spacing w:after="160" w:line="278.0000000000000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jpg"/><Relationship Id="rId8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Relationship Id="rId3" Type="http://schemas.openxmlformats.org/officeDocument/2006/relationships/font" Target="fonts/ArialNarrow-regular.ttf"/><Relationship Id="rId4" Type="http://schemas.openxmlformats.org/officeDocument/2006/relationships/font" Target="fonts/ArialNarrow-bold.ttf"/><Relationship Id="rId11" Type="http://schemas.openxmlformats.org/officeDocument/2006/relationships/font" Target="fonts/NotoSansSymbols-regular.ttf"/><Relationship Id="rId10" Type="http://schemas.openxmlformats.org/officeDocument/2006/relationships/font" Target="fonts/QuattrocentoSans-boldItalic.ttf"/><Relationship Id="rId12" Type="http://schemas.openxmlformats.org/officeDocument/2006/relationships/font" Target="fonts/NotoSansSymbols-bold.ttf"/><Relationship Id="rId9" Type="http://schemas.openxmlformats.org/officeDocument/2006/relationships/font" Target="fonts/QuattrocentoSans-italic.ttf"/><Relationship Id="rId5" Type="http://schemas.openxmlformats.org/officeDocument/2006/relationships/font" Target="fonts/ArialNarrow-italic.ttf"/><Relationship Id="rId6" Type="http://schemas.openxmlformats.org/officeDocument/2006/relationships/font" Target="fonts/ArialNarrow-boldItalic.ttf"/><Relationship Id="rId7" Type="http://schemas.openxmlformats.org/officeDocument/2006/relationships/font" Target="fonts/QuattrocentoSans-regular.ttf"/><Relationship Id="rId8" Type="http://schemas.openxmlformats.org/officeDocument/2006/relationships/font" Target="fonts/QuattrocentoSan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kfjDE0yrBdnlcMT8E+snWh86/TA==">CgMxLjA4AHIhMTJFYTFfNkdXY3BFUEJLTGhJLVZjeFNmd0Zaa1FXN0l6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