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>
        <w:rPr>
          <w:rFonts w:ascii="Arial Narrow" w:cs="Arial Narrow" w:eastAsia="Arial Narrow" w:hAnsi="Arial Narrow"/>
          <w:bCs w:val="1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>Lima, 27 de agosto de 2026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Sres.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FAM. ZEGARRA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Presente. -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Atención</w:t>
        <w:tab/>
        <w:tab/>
        <w:t xml:space="preserve">:</w:t>
        <w:tab/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Paula Casanova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Asunto</w:t>
        <w:tab/>
        <w:tab/>
        <w:t xml:space="preserve">:</w:t>
        <w:tab/>
        <w:t xml:space="preserve">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De mi especial consideración: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 un gusto saludarlo. A través de la presente, me permito hacerle llegar nuestra propuesta formal de adquisición respecto al inmueble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ubicado en Av. Collasuyo 2964, Distrito de Cusco,Provincia de Cusco, Departamento del Cusco, inscrit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o en la Partida Electrónica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N° 11008045 de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 registro de bienes inmuebles de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Cusco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Luego de una evaluación preliminar de la documentación proporcionada, hemos concluido que la propiedad con un área aproximada d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 2,723 m2,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comercial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PROPUESTA ECONÓMICA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>
        <w:rPr>
          <w:rFonts w:ascii="Arial Narrow" w:cs="Arial Narrow" w:eastAsia="Arial Narrow" w:hAnsi="Arial Narrow"/>
          <w:bCs w:val="1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>• Precio de Compra: US $6,000,000.00 (Seis millones y  00/100 dólares americanos). Aproximadamente US $ 2,203.45 por m2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Estructura y 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spacing w:after="0" w:line="276" w:lineRule="auto"/>
        <w:ind w:left="1440" w:hanging="36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Firma de la escritura Compraventa y cancelación del precio total al contado con un plazo máximo de 6 meses.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spacing w:after="0" w:line="276" w:lineRule="auto"/>
        <w:ind w:left="1440" w:hanging="36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Firma de minuta  con el monto de USD $ 100,000 (cien mil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spacing w:after="0" w:line="276" w:lineRule="auto"/>
        <w:ind w:left="1440" w:hanging="36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Al mes 6, firma de la Escritura de Compraventa y cancelación del saldo del precio total.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CONDICIONES DE LA OPERACIÓN: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Certificados: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Cinco (5) días hábiles antes de la firma de la Opción de Compra, los propietarios deberán hacer entrega del Certificado de Parámetros Urbanísticos y Edificatorios, y el Certificado de Zonificación y Vías vigentes.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Situación del Inmueble: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predio no debe estar declarado ni en proceso de declaración como patrimonio cultural.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Apoyo en Gestiones: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Los otorgantes se comprometen a suscribir todos los documentos y solicitudes necesarios para la aprobación del anteproyecto en consulta ante la municipalidad competente.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Saneamiento Legal: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inmueble deberá contar con título inscrito y saneado, libre de cargas, gravámenes, embargos, litigios o cualquier limitación que afecte su libre disponibilidad y transferencia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la fecha del ejercicio de opción de compra.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Obligaciones Tributarias: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Todos los tributos municipales (impuesto predial y arbitrios), tasas y aportes vinculados al predio deberán estar totalmente cancelados a la fecha de la firma de la Compraventa.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Documentación: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Durante la vigencia de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l plazo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realizaremos Due Diligence legal, comercial y técnica, para lo cual los otorgantes facilitarán toda la información requerida sobre el inmueble y/o sus titulares.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Acceso al Predio: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requerirá acceso regular al inmueble durante la vigencia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del plazo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para realizar estudios técnicos y evaluaciones de desarrollo.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Sin otro particular, quedamos a su entera disposición para coordinar una reunión, con el objetivo de ampliar cualquier aspecto de la presente propuesta.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-123822</wp:posOffset>
            </wp:positionH>
            <wp:positionV relativeFrom="paragraph">
              <wp:posOffset>302238</wp:posOffset>
            </wp:positionV>
            <wp:extent cx="1060324" cy="966073"/>
            <wp:effectExtent b="115632" l="102583" r="102583" t="115632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Arq. Andres Cortez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Ejecutivo de área de expansión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ccortez@ecoplaza.com.pe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Cel: +51 920 675 018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sz w:val="21"/>
          <w:szCs w:val="2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985" w:top="1985" w:left="1701" w:right="17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Quattrocen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)"/>
      <w:lvlJc w:val="left"/>
      <w:pPr>
        <w:ind w:left="1080" w:hanging="72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PE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11" Type="http://schemas.openxmlformats.org/officeDocument/2006/relationships/font" Target="fonts/NotoSansSymbols-regular.ttf"/><Relationship Id="rId10" Type="http://schemas.openxmlformats.org/officeDocument/2006/relationships/font" Target="fonts/QuattrocentoSans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QuattrocentoSans-italic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Relationship Id="rId7" Type="http://schemas.openxmlformats.org/officeDocument/2006/relationships/font" Target="fonts/QuattrocentoSans-regular.ttf"/><Relationship Id="rId8" Type="http://schemas.openxmlformats.org/officeDocument/2006/relationships/font" Target="fonts/Quattrocento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fjDE0yrBdnlcMT8E+snWh86/TA==">CgMxLjA4AHIhMTJFYTFfNkdXY3BFUEJLTGhJLVZjeFNmd0Zaa1FXN0l6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