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15DE3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noProof/>
          <w:sz w:val="21"/>
          <w:szCs w:val="21"/>
        </w:rPr>
        <w:drawing>
          <wp:anchor distT="0" distB="0" distL="0" distR="0" simplePos="0" relativeHeight="251658240" behindDoc="1" locked="0" layoutInCell="1" hidden="0" allowOverlap="1" wp14:anchorId="074990C9" wp14:editId="2C443082">
            <wp:simplePos x="0" y="0"/>
            <wp:positionH relativeFrom="page">
              <wp:posOffset>7200</wp:posOffset>
            </wp:positionH>
            <wp:positionV relativeFrom="page">
              <wp:posOffset>43200</wp:posOffset>
            </wp:positionV>
            <wp:extent cx="7545070" cy="10658907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B1BB744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Cs/>
          <w:color w:val="000000"/>
          <w:sz w:val="21"/>
          <w:szCs w:val="21"/>
        </w:rPr>
        <w:t xml:space="preserve">Lima, 25 de agosto de 2026 </w:t>
      </w:r>
    </w:p>
    <w:p w14:paraId="61527176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</w:p>
    <w:p w14:paraId="32D799D4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</w:p>
    <w:p w14:paraId="14352B51" w14:textId="3D4796C5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Señor</w:t>
      </w:r>
      <w:r w:rsidR="00662FED">
        <w:rPr>
          <w:rFonts w:ascii="Arial Narrow" w:eastAsia="Arial Narrow" w:hAnsi="Arial Narrow" w:cs="Arial Narrow"/>
          <w:b/>
          <w:bCs/>
          <w:sz w:val="21"/>
          <w:szCs w:val="21"/>
        </w:rPr>
        <w:t xml:space="preserve"> (es)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:</w:t>
      </w:r>
    </w:p>
    <w:p w14:paraId="56CB78F9" w14:textId="77777777" w:rsidR="00674549" w:rsidRDefault="00000000">
      <w:pPr>
        <w:spacing w:after="0" w:line="240" w:lineRule="auto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 xml:space="preserve">BASTIS S.R.L.</w:t>
      </w:r>
    </w:p>
    <w:p w14:paraId="56ECCB49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Presente. - </w:t>
      </w:r>
    </w:p>
    <w:p w14:paraId="553F9FC3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1"/>
          <w:szCs w:val="21"/>
        </w:rPr>
      </w:pPr>
    </w:p>
    <w:p w14:paraId="04E0D96E" w14:textId="4F3EDE89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Atención: Renato Orlando Constantini Gallo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ab/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ab/>
      </w:r>
    </w:p>
    <w:p w14:paraId="4101FF6B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Asunto: Propuesta de Adquisición de Empresa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ab/>
      </w:r>
    </w:p>
    <w:p w14:paraId="04B07707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1"/>
          <w:szCs w:val="21"/>
        </w:rPr>
      </w:pPr>
    </w:p>
    <w:p w14:paraId="00D30224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De mi especial consideración: </w:t>
      </w:r>
    </w:p>
    <w:p w14:paraId="3A05D434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Es un gusto saludarlo. A través de la presente, me permito hacerle llegar nuestra propuesta formal de adquisición del 100% de las participaciones sociales de BASTIS S.R.L., identificada con RUC N° 20456277561, inscrita en la Partida Electrónica N° 14241705 del Registro de Personas Jurídicas de la Zona Registral N° IX – Sede Lima.</w:t>
      </w:r>
      <w:proofErr w:type="spellStart"/>
      <w:proofErr w:type="spellEnd"/>
      <w:proofErr w:type="spellStart"/>
      <w:proofErr w:type="spellEnd"/>
    </w:p>
    <w:p w14:paraId="0CAAA06B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</w:p>
    <w:p w14:paraId="08D8D96E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Luego de una evaluación preliminar de la documentación proporcionada, hemos concluido que la empresa presenta características estratégicas que se ajustan al perfil de inversión.</w:t>
      </w:r>
    </w:p>
    <w:p w14:paraId="0219F90D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1"/>
          <w:szCs w:val="21"/>
        </w:rPr>
      </w:pPr>
    </w:p>
    <w:p w14:paraId="39742205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En ese sentido, presentamos nuestra propuesta de adquisición bajo los siguientes términos y condiciones: </w:t>
      </w:r>
    </w:p>
    <w:p w14:paraId="3749D96F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1"/>
          <w:szCs w:val="21"/>
        </w:rPr>
      </w:pPr>
    </w:p>
    <w:p w14:paraId="272749F9" w14:textId="77777777" w:rsidR="0067454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284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PROPUESTA ECONÓMICA  </w:t>
      </w:r>
    </w:p>
    <w:p w14:paraId="294D9659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</w:p>
    <w:p w14:paraId="208D9359" w14:textId="5B79E686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Cs/>
          <w:color w:val="000000"/>
          <w:sz w:val="21"/>
          <w:szCs w:val="21"/>
        </w:rPr>
        <w:t xml:space="preserve">• Precio de Compra: US $4 000 000.00 (Cuatro millones 00/100 dólares americanos) por el 100% de las participaciones sociales de BASTIS S.R.L.. Dicho precio se entiende neto de pasivos.</w:t>
      </w:r>
    </w:p>
    <w:p w14:paraId="725A8DF4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 Narrow" w:eastAsia="Arial Narrow" w:hAnsi="Arial Narrow" w:cs="Arial Narrow"/>
          <w:sz w:val="21"/>
          <w:szCs w:val="21"/>
        </w:rPr>
      </w:pPr>
    </w:p>
    <w:p w14:paraId="1704B491" w14:textId="77777777" w:rsidR="0067454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Estructura y Modalidad de pago:</w:t>
      </w:r>
    </w:p>
    <w:p w14:paraId="2A8FD9F2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1"/>
          <w:szCs w:val="21"/>
        </w:rPr>
      </w:pPr>
    </w:p>
    <w:p w14:paraId="6BA8E663" w14:textId="77777777" w:rsidR="00674549" w:rsidRDefault="00000000">
      <w:pPr>
        <w:spacing w:after="0" w:line="240" w:lineRule="auto"/>
        <w:jc w:val="both"/>
        <w:rPr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 xml:space="preserve">o Pago de  USD $ 50 000 (cincuenta mil 00/100 dólares americanos)  por concepto de Prima de Opción a la firma simultánea de Minuta y Escritura Pública del Contrato de Opción de Compra de Participaciones.</w:t>
      </w:r>
      <w:proofErr w:type="gramStart"/>
      <w:proofErr w:type="gramEnd"/>
    </w:p>
    <w:p w14:paraId="499B5D20" w14:textId="77777777" w:rsidR="00674549" w:rsidRDefault="00000000">
      <w:pPr>
        <w:spacing w:after="0" w:line="240" w:lineRule="auto"/>
        <w:jc w:val="both"/>
        <w:rPr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 xml:space="preserve">o Cancelación del saldo a los 120 días calendarios de la Minuta y Escritura Pública del Contrato de Transferencia de Participaciones Sociales.</w:t>
      </w:r>
    </w:p>
    <w:p w14:paraId="68506386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</w:t>
      </w:r>
    </w:p>
    <w:p w14:paraId="6F06EFC8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</w:p>
    <w:p w14:paraId="7829BF44" w14:textId="77777777" w:rsidR="0067454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284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CONDICIONES DE LA OPERACIÓN: </w:t>
      </w:r>
    </w:p>
    <w:p w14:paraId="749B9E64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</w:p>
    <w:p w14:paraId="11186AED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349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Cs/>
          <w:color w:val="000000"/>
          <w:sz w:val="21"/>
          <w:szCs w:val="21"/>
        </w:rPr>
        <w:t xml:space="preserve">a) Entrega de Certificados: Cinco (5) días hábiles antes de la firma de la Opción de Compra, la parte vendedora hará entrega de los certificados vigentes relativos a los activos de la empresa.</w:t>
      </w:r>
    </w:p>
    <w:p w14:paraId="70CABEAA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349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Cs/>
          <w:color w:val="000000"/>
          <w:sz w:val="21"/>
          <w:szCs w:val="21"/>
        </w:rPr>
        <w:t xml:space="preserve">b) Situación de los activos: Los inmuebles no deben estar declarados ni en proceso de declaración como patrimonio cultural.</w:t>
      </w:r>
    </w:p>
    <w:p w14:paraId="2D018548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349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Cs/>
          <w:color w:val="000000"/>
          <w:sz w:val="21"/>
          <w:szCs w:val="21"/>
        </w:rPr>
        <w:t xml:space="preserve"/>
        <w:br/>
        <w:t xml:space="preserve"/>
      </w:r>
    </w:p>
    <w:p w14:paraId="2E62E902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349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Cs/>
          <w:color w:val="000000"/>
          <w:sz w:val="21"/>
          <w:szCs w:val="21"/>
        </w:rPr>
        <w:t xml:space="preserve">c) Saneamiento Legal: El 100% de las participaciones deberán encontrarse libres de todo gravamen, prenda, embargo o limitación; y la empresa libre de cargas, gravámenes, embargos, litigios o cualquier contingencia que afecte su libre disponibilidad y transferencia a la fecha del ejercicio de la Opción de Compra.</w:t>
      </w:r>
    </w:p>
    <w:p w14:paraId="2391C101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349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Cs/>
          <w:color w:val="000000"/>
          <w:sz w:val="21"/>
          <w:szCs w:val="21"/>
        </w:rPr>
        <w:t xml:space="preserve">d) Obligaciones Tributarias: A la fecha de la firma de la transferencia, la empresa deberá tener totalmente cancelados todos sus tributos, tasas y aportes; así como, al día todas sus obligaciones laborales.</w:t>
      </w:r>
    </w:p>
    <w:p w14:paraId="29A5FD96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349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Cs/>
          <w:color w:val="000000"/>
          <w:sz w:val="21"/>
          <w:szCs w:val="21"/>
        </w:rPr>
        <w:t xml:space="preserve">e) Entrega de Documentación: Durante la vigencia de la Opción de Compra, se realizará un Due Diligence integral —legal, corporativo, comercial, técnico, tributario, laboral y financiero-contable— sobre la empresa y el activo, para lo cual los otorgantes facilitarán toda la información requerida.</w:t>
        <w:br/>
        <w:t xml:space="preserve">f) Declaraciones y Contingencias: La parte vendedora declara y garantiza que la empresa no mantiene pasivos, deudas, obligaciones, procesos ni contingencias distintas a las expresamente reveladas a LA COMPRADORA. Toda contingencia que se detecte durante el Due Diligence deberá ser subsanada y resuelta por cuenta y costo de la parte vendedora durante el tiempo de opción de compra.</w:t>
      </w:r>
      <w:proofErr w:type="spellStart"/>
      <w:proofErr w:type="spellEnd"/>
      <w:proofErr w:type="spellStart"/>
      <w:proofErr w:type="spellEnd"/>
    </w:p>
    <w:p w14:paraId="5FFE1C23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349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noProof/>
          <w:sz w:val="21"/>
          <w:szCs w:val="21"/>
        </w:rPr>
        <w:lastRenderedPageBreak/>
        <w:drawing>
          <wp:anchor distT="0" distB="0" distL="0" distR="0" simplePos="0" relativeHeight="251659264" behindDoc="1" locked="0" layoutInCell="1" hidden="0" allowOverlap="1" wp14:anchorId="4F05BBA0" wp14:editId="29FBBF25">
            <wp:simplePos x="0" y="0"/>
            <wp:positionH relativeFrom="page">
              <wp:posOffset>43200</wp:posOffset>
            </wp:positionH>
            <wp:positionV relativeFrom="page">
              <wp:posOffset>43200</wp:posOffset>
            </wp:positionV>
            <wp:extent cx="7545070" cy="10658907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 Narrow" w:eastAsia="Arial Narrow" w:hAnsi="Arial Narrow" w:cs="Arial Narrow"/>
          <w:bCs/>
          <w:color w:val="000000"/>
          <w:sz w:val="21"/>
          <w:szCs w:val="21"/>
        </w:rPr>
        <w:t xml:space="preserve"/>
        <w:br/>
        <w:t xml:space="preserve"/>
      </w:r>
    </w:p>
    <w:p w14:paraId="328A50D8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349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Cs/>
          <w:color w:val="000000"/>
          <w:sz w:val="21"/>
          <w:szCs w:val="21"/>
        </w:rPr>
        <w:t xml:space="preserve"/>
        <w:br/>
        <w:t xml:space="preserve"/>
        <w:br/>
        <w:t xml:space="preserve"/>
        <w:br/>
        <w:t xml:space="preserve"/>
      </w:r>
    </w:p>
    <w:p w14:paraId="7F4C380B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Sin otro particular, quedamos a su entera disposición para coordinar una reunión, con el objetivo de ampliar cualquier aspecto de la presente propuesta.</w:t>
        <w:br/>
        <w:t xml:space="preserve"/>
        <w:br/>
        <w:t xml:space="preserve"/>
        <w:br/>
        <w:t xml:space="preserve"/>
      </w:r>
    </w:p>
    <w:p w14:paraId="2A0F0C70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/>
        <w:br/>
        <w:t xml:space="preserve"/>
        <w:br/>
        <w:t xml:space="preserve">Atentamente,</w:t>
      </w:r>
    </w:p>
    <w:p w14:paraId="1E5CE3B4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 Narrow" w:eastAsia="Arial Narrow" w:hAnsi="Arial Narrow" w:cs="Arial Narrow"/>
          <w:color w:val="000000"/>
          <w:sz w:val="21"/>
          <w:szCs w:val="21"/>
        </w:rPr>
      </w:pPr>
    </w:p>
    <w:p w14:paraId="6C984103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39E0B600" wp14:editId="7CB2E361">
            <wp:simplePos x="0" y="0"/>
            <wp:positionH relativeFrom="column">
              <wp:posOffset>-60954</wp:posOffset>
            </wp:positionH>
            <wp:positionV relativeFrom="paragraph">
              <wp:posOffset>200768</wp:posOffset>
            </wp:positionV>
            <wp:extent cx="1276350" cy="848207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8482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802FB04" w14:textId="77777777" w:rsidR="00674549" w:rsidRDefault="00674549">
      <w:pP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1"/>
          <w:szCs w:val="21"/>
        </w:rPr>
      </w:pPr>
    </w:p>
    <w:p w14:paraId="156483B9" w14:textId="77777777" w:rsidR="00674549" w:rsidRDefault="00674549">
      <w:pP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1"/>
          <w:szCs w:val="21"/>
        </w:rPr>
      </w:pPr>
    </w:p>
    <w:p w14:paraId="4C1E1DAF" w14:textId="77777777" w:rsidR="00674549" w:rsidRDefault="00674549">
      <w:pP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1"/>
          <w:szCs w:val="21"/>
        </w:rPr>
      </w:pPr>
    </w:p>
    <w:p w14:paraId="3A65955F" w14:textId="77777777" w:rsidR="00674549" w:rsidRDefault="00674549">
      <w:pP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1"/>
          <w:szCs w:val="21"/>
        </w:rPr>
      </w:pPr>
    </w:p>
    <w:p w14:paraId="66202C56" w14:textId="77777777" w:rsidR="00674549" w:rsidRDefault="00674549">
      <w:pP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1"/>
          <w:szCs w:val="21"/>
        </w:rPr>
      </w:pPr>
    </w:p>
    <w:p w14:paraId="7B51BC60" w14:textId="77777777" w:rsidR="00674549" w:rsidRDefault="00674549">
      <w:pP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1"/>
          <w:szCs w:val="21"/>
        </w:rPr>
      </w:pPr>
    </w:p>
    <w:p w14:paraId="09B4A69D" w14:textId="77777777" w:rsidR="00674549" w:rsidRDefault="00000000">
      <w:pP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sz w:val="21"/>
          <w:szCs w:val="21"/>
        </w:rPr>
        <w:t>Arq. Keiko Ramirez</w:t>
      </w:r>
    </w:p>
    <w:p w14:paraId="726892B3" w14:textId="77777777" w:rsidR="00674549" w:rsidRDefault="00000000">
      <w:pPr>
        <w:spacing w:after="0" w:line="240" w:lineRule="auto"/>
        <w:jc w:val="both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 xml:space="preserve">Ejecutiva de área de expansión </w:t>
      </w:r>
    </w:p>
    <w:p w14:paraId="30D0C9AD" w14:textId="77777777" w:rsidR="00674549" w:rsidRDefault="00000000">
      <w:pP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sz w:val="21"/>
          <w:szCs w:val="21"/>
        </w:rPr>
        <w:t>GRUPO ECOPLAZA</w:t>
      </w:r>
    </w:p>
    <w:p w14:paraId="54D5B402" w14:textId="77777777" w:rsidR="00674549" w:rsidRDefault="00000000">
      <w:pPr>
        <w:spacing w:after="0" w:line="240" w:lineRule="auto"/>
        <w:jc w:val="both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>k.ramirez@ecoplaza.com.pe</w:t>
      </w:r>
    </w:p>
    <w:p w14:paraId="2567997A" w14:textId="77777777" w:rsidR="00674549" w:rsidRDefault="00000000">
      <w:pP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sz w:val="20"/>
          <w:szCs w:val="20"/>
        </w:rPr>
      </w:pPr>
      <w:r>
        <w:rPr>
          <w:rFonts w:ascii="Arial Narrow" w:eastAsia="Arial Narrow" w:hAnsi="Arial Narrow" w:cs="Arial Narrow"/>
          <w:sz w:val="21"/>
          <w:szCs w:val="21"/>
        </w:rPr>
        <w:t>Cel: +51 982 102 679</w:t>
      </w:r>
    </w:p>
    <w:p w14:paraId="1277B49D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 Narrow" w:eastAsia="Arial Narrow" w:hAnsi="Arial Narrow" w:cs="Arial Narrow"/>
          <w:sz w:val="21"/>
          <w:szCs w:val="21"/>
          <w:highlight w:val="lightGray"/>
        </w:rPr>
      </w:pPr>
    </w:p>
    <w:p w14:paraId="1558B5F7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 Narrow" w:eastAsia="Arial Narrow" w:hAnsi="Arial Narrow" w:cs="Arial Narrow"/>
          <w:color w:val="000000"/>
          <w:sz w:val="21"/>
          <w:szCs w:val="21"/>
        </w:rPr>
      </w:pPr>
    </w:p>
    <w:sectPr w:rsidR="00674549">
      <w:pgSz w:w="11906" w:h="16838"/>
      <w:pgMar w:top="1985" w:right="1700" w:bottom="198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5614001D-FFD7-4933-BE27-BA81EBE4218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20109D78-C2BA-431E-BC72-B8A109E98022}"/>
    <w:embedBold r:id="rId3" w:fontKey="{A1B89C90-B6EE-4767-97E0-24D043E2440C}"/>
    <w:embedItalic r:id="rId4" w:fontKey="{C3C9A7B4-1F09-43CD-A236-2C232B298370}"/>
  </w:font>
  <w:font w:name="Play">
    <w:charset w:val="00"/>
    <w:family w:val="auto"/>
    <w:pitch w:val="default"/>
    <w:embedRegular r:id="rId5" w:fontKey="{B236D6AE-2B16-4940-992E-39DE5C6A694B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6" w:fontKey="{C005FDA6-0777-486C-B715-303E9558F23A}"/>
    <w:embedBold r:id="rId7" w:fontKey="{09F4B096-FC1B-490B-A785-7FE6139A8829}"/>
    <w:embedItalic r:id="rId8" w:fontKey="{56C75721-4D17-402D-9953-8727A75DC667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9" w:fontKey="{C278054A-E53E-4968-8DB9-9E2B4FAD766D}"/>
  </w:font>
  <w:font w:name="Quattrocento Sans">
    <w:charset w:val="00"/>
    <w:family w:val="swiss"/>
    <w:pitch w:val="variable"/>
    <w:sig w:usb0="800000BF" w:usb1="4000005B" w:usb2="00000000" w:usb3="00000000" w:csb0="00000001" w:csb1="00000000"/>
    <w:embedBold r:id="rId10" w:fontKey="{4BC7B103-6D11-49A7-B4BA-CBEDDA458F1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5EC0C3F9-DA13-43BE-8419-70C2E922062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1A3C73D1-6C9D-48A5-BD3F-CBDF80DEDD6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46D0C"/>
    <w:multiLevelType w:val="multilevel"/>
    <w:tmpl w:val="776A7C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C84095"/>
    <w:multiLevelType w:val="multilevel"/>
    <w:tmpl w:val="8EF27898"/>
    <w:lvl w:ilvl="0">
      <w:start w:val="1"/>
      <w:numFmt w:val="lowerLetter"/>
      <w:lvlText w:val="%1)"/>
      <w:lvlJc w:val="left"/>
      <w:pPr>
        <w:ind w:left="1080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ED4B8E"/>
    <w:multiLevelType w:val="multilevel"/>
    <w:tmpl w:val="A2EA55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46084128">
    <w:abstractNumId w:val="0"/>
  </w:num>
  <w:num w:numId="2" w16cid:durableId="1863014521">
    <w:abstractNumId w:val="2"/>
  </w:num>
  <w:num w:numId="3" w16cid:durableId="61609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549"/>
    <w:rsid w:val="00662FED"/>
    <w:rsid w:val="0067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A4F39B"/>
  <w15:docId w15:val="{47AE7F5B-DD1F-4713-91A2-60EDB717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s-PE" w:eastAsia="es-PE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Rv8b1GWNfdZhNtd+iPXeQVkh8g==">CgMxLjA4AHIhMVdpV0JxdFhyR2RBNllidHV1TGszZXVuQVFxa2xvRnNV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Keiko Ramirez</cp:lastModifiedBy>
  <cp:revision>2</cp:revision>
  <dcterms:created xsi:type="dcterms:W3CDTF">2026-07-27T17:14:00Z</dcterms:created>
  <dcterms:modified xsi:type="dcterms:W3CDTF">2026-07-27T17:15:00Z</dcterms:modified>
</cp:coreProperties>
</file>