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12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Señor</w:t>
      </w:r>
      <w:r w:rsidR="00662FED">
        <w:rPr>
          <w:rFonts w:ascii="Arial Narrow" w:eastAsia="Arial Narrow" w:hAnsi="Arial Narrow" w:cs="Arial Narrow"/>
          <w:b/>
          <w:bCs/>
          <w:sz w:val="21"/>
          <w:szCs w:val="21"/>
        </w:rPr>
        <w:t xml:space="preserve"> (es)</w:t>
      </w:r>
      <w:r>
        <w:rPr>
          <w:rFonts w:ascii="Arial Narrow" w:eastAsia="Arial Narrow" w:hAnsi="Arial Narrow" w:cs="Arial Narrow"/>
          <w:b/>
          <w:bCs/>
          <w:color w:val="000000"/>
          <w:sz w:val="21"/>
          <w:szCs w:val="21"/>
        </w:rPr>
        <w:t>:</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Luis Guillermo Costas Moya</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Atención: Alonso Contreras</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Av. Pacífico y Jirón Samanco, Distrito de Nuevo Chimbote, Provincia de Santa, Departamento de Ancash, inscrito en la Partida Electrónica </w:t>
      </w:r>
      <w:r>
        <w:rPr>
          <w:sz w:val="22"/>
          <w:szCs w:val="22"/>
          <w:rFonts w:ascii="Arial Narrow" w:eastAsia="Arial Narrow" w:hAnsi="Arial Narrow" w:cs="Arial Narrow"/>
          <w:color w:val="000000"/>
        </w:rPr>
        <w:t xml:space="preserve">P09068107, P09068108 y P09068109</w:t>
      </w:r>
      <w:r>
        <w:rPr>
          <w:rFonts w:ascii="Arial Narrow" w:eastAsia="Arial Narrow" w:hAnsi="Arial Narrow" w:cs="Arial Narrow"/>
          <w:color w:val="000000"/>
          <w:sz w:val="21"/>
          <w:szCs w:val="21"/>
        </w:rPr>
        <w:t xml:space="preserve"> del registro de bienes inmuebles de Ancash.</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3,756.80 m2, presenta características estratégicas que se ajustan al perfil de ubicación requerido para el desarrollo de un proyecto comercial.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$3,756,800 (Tres millones setecientos cincuenta y seis mil ochocientos 00/100 dólares americanos), equivalente a US$ 1,000.00 por m² aproximadamente.</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numPr>
          <w:ilvl w:val="0"/>
          <w:numId w:val="2"/>
        </w:num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
          <w:bCs/>
          <w:color w:val="000000"/>
          <w:sz w:val="21"/>
          <w:szCs w:val="21"/>
        </w:rPr>
        <w:t>Estructura y Modalidad de pago:</w:t>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o Pago de  USD $ 50 000 (cincuenta mil 00/100 dólares americanos)  por concepto de Prima de Opción a la firma simultánea de Minuta y Escritura Pública del Contrato de Opción de Compra </w:t>
      </w:r>
      <w:proofErr w:type="gramStart"/>
      <w:proofErr w:type="gramEnd"/>
    </w:p>
    <w:p w14:paraId="499B5D20"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Cancelación del saldo al mes 6, a la firma simultánea de Minuta y Escritura Pública de Compraventa. </w:t>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t>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Entrega de Certificados:</w:t>
      </w:r>
      <w:r>
        <w:rPr>
          <w:rFonts w:ascii="Arial Narrow" w:eastAsia="Arial Narrow" w:hAnsi="Arial Narrow" w:cs="Arial Narrow"/>
          <w:color w:val="000000"/>
          <w:sz w:val="21"/>
          <w:szCs w:val="21"/>
        </w:rPr>
        <w:t xml:space="preserve"> 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Situación del Inmueble:</w:t>
      </w:r>
      <w:r>
        <w:rPr>
          <w:rFonts w:ascii="Arial Narrow" w:eastAsia="Arial Narrow" w:hAnsi="Arial Narrow" w:cs="Arial Narrow"/>
          <w:color w:val="000000"/>
          <w:sz w:val="21"/>
          <w:szCs w:val="21"/>
        </w:rPr>
        <w:t xml:space="preserve"> El predio no debe estar declarado ni en proceso de declaración como patrimonio cultural.</w:t>
      </w:r>
    </w:p>
    <w:p w14:paraId="2D018548"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Apoyo en Gestiones:</w:t>
      </w:r>
      <w:r>
        <w:rPr>
          <w:rFonts w:ascii="Arial Narrow" w:eastAsia="Arial Narrow" w:hAnsi="Arial Narrow" w:cs="Arial Narrow"/>
          <w:color w:val="000000"/>
          <w:sz w:val="21"/>
          <w:szCs w:val="21"/>
        </w:rPr>
        <w:t xml:space="preserve"> Los otorgantes se comprometen a suscribir todos los documentos y solicitudes necesarios para la aprobación del anteproyecto en consulta ante la municipalidad competente.</w:t>
      </w:r>
    </w:p>
    <w:p w14:paraId="2E62E902"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Saneamiento Legal:</w:t>
      </w:r>
      <w:r>
        <w:rPr>
          <w:rFonts w:ascii="Arial Narrow" w:eastAsia="Arial Narrow" w:hAnsi="Arial Narrow" w:cs="Arial Narrow"/>
          <w:color w:val="000000"/>
          <w:sz w:val="21"/>
          <w:szCs w:val="21"/>
        </w:rPr>
        <w:t xml:space="preserve"> </w:t>
      </w:r>
      <w:r>
        <w:rPr>
          <w:rFonts w:ascii="Arial Narrow" w:eastAsia="Arial Narrow" w:hAnsi="Arial Narrow" w:cs="Arial Narrow"/>
          <w:sz w:val="21"/>
          <w:szCs w:val="21"/>
        </w:rPr>
        <w:t>El inmueble deberá contar con título inscrito y saneado, libre de cargas, gravámenes, embargos, litigios o cualquier limitación que afecte su libre disponibilidad y transferencia</w:t>
      </w:r>
      <w:r>
        <w:rPr>
          <w:sz w:val="21"/>
          <w:szCs w:val="21"/>
        </w:rPr>
        <w:t xml:space="preserve"> </w:t>
      </w:r>
      <w:r>
        <w:rPr>
          <w:rFonts w:ascii="Arial Narrow" w:eastAsia="Arial Narrow" w:hAnsi="Arial Narrow" w:cs="Arial Narrow"/>
          <w:sz w:val="21"/>
          <w:szCs w:val="21"/>
        </w:rPr>
        <w:t xml:space="preserve">a la fecha del ejercicio de opción de compra. </w:t>
      </w:r>
    </w:p>
    <w:p w14:paraId="2391C101"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Obligaciones Tributarias:</w:t>
      </w:r>
      <w:r>
        <w:rPr>
          <w:rFonts w:ascii="Arial Narrow" w:eastAsia="Arial Narrow" w:hAnsi="Arial Narrow" w:cs="Arial Narrow"/>
          <w:color w:val="000000"/>
          <w:sz w:val="21"/>
          <w:szCs w:val="21"/>
        </w:rPr>
        <w:t xml:space="preserve"> Todos los tributos municipales (impuesto predial y arbitrios), tasas y aportes vinculados al predio deberán estar totalmente cancelados a la fecha de la firma de la Compraventa. </w:t>
      </w:r>
    </w:p>
    <w:p w14:paraId="29A5FD96"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Entrega de Documentación:</w:t>
      </w:r>
      <w:r>
        <w:rPr>
          <w:rFonts w:ascii="Arial Narrow" w:eastAsia="Arial Narrow" w:hAnsi="Arial Narrow" w:cs="Arial Narrow"/>
          <w:color w:val="000000"/>
          <w:sz w:val="21"/>
          <w:szCs w:val="21"/>
        </w:rPr>
        <w:t xml:space="preserve"> Durante la vigencia de la Opción de Compra, realizaremos </w:t>
      </w:r>
      <w:proofErr w:type="spellStart"/>
      <w:r>
        <w:rPr>
          <w:rFonts w:ascii="Arial Narrow" w:eastAsia="Arial Narrow" w:hAnsi="Arial Narrow" w:cs="Arial Narrow"/>
          <w:color w:val="000000"/>
          <w:sz w:val="21"/>
          <w:szCs w:val="21"/>
        </w:rPr>
        <w:t>Due</w:t>
      </w:r>
      <w:proofErr w:type="spellEnd"/>
      <w:r>
        <w:rPr>
          <w:rFonts w:ascii="Arial Narrow" w:eastAsia="Arial Narrow" w:hAnsi="Arial Narrow" w:cs="Arial Narrow"/>
          <w:color w:val="000000"/>
          <w:sz w:val="21"/>
          <w:szCs w:val="21"/>
        </w:rPr>
        <w:t xml:space="preserve"> </w:t>
      </w:r>
      <w:proofErr w:type="spellStart"/>
      <w:r>
        <w:rPr>
          <w:rFonts w:ascii="Arial Narrow" w:eastAsia="Arial Narrow" w:hAnsi="Arial Narrow" w:cs="Arial Narrow"/>
          <w:color w:val="000000"/>
          <w:sz w:val="21"/>
          <w:szCs w:val="21"/>
        </w:rPr>
        <w:t>Diligence</w:t>
      </w:r>
      <w:proofErr w:type="spellEnd"/>
      <w:r>
        <w:rPr>
          <w:rFonts w:ascii="Arial Narrow" w:eastAsia="Arial Narrow" w:hAnsi="Arial Narrow" w:cs="Arial Narrow"/>
          <w:color w:val="000000"/>
          <w:sz w:val="21"/>
          <w:szCs w:val="21"/>
        </w:rPr>
        <w:t xml:space="preserve"> legal, comercial y técnica, para lo cual los otorgantes facilitarán toda la información requerida sobre el inmueble y/o sus titulares.</w:t>
      </w:r>
    </w:p>
    <w:p w14:paraId="5FFE1C23"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
          <w:bCs/>
          <w:color w:val="000000"/>
          <w:sz w:val="21"/>
          <w:szCs w:val="21"/>
        </w:rPr>
        <w:t>Acceso al Predio:</w:t>
      </w:r>
      <w:r>
        <w:rPr>
          <w:rFonts w:ascii="Arial Narrow" w:eastAsia="Arial Narrow" w:hAnsi="Arial Narrow" w:cs="Arial Narrow"/>
          <w:color w:val="000000"/>
          <w:sz w:val="21"/>
          <w:szCs w:val="21"/>
        </w:rPr>
        <w:t xml:space="preserve"> Se requerirá acceso regular al inmueble durante la vigencia de la opción para realizar estudios técnicos y evaluaciones de desarrollo.</w:t>
      </w:r>
    </w:p>
    <w:p w14:paraId="328A50D8"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Área Cedida y Publicidad:</w:t>
      </w:r>
      <w:r>
        <w:rPr>
          <w:rFonts w:ascii="Arial Narrow" w:eastAsia="Arial Narrow" w:hAnsi="Arial Narrow" w:cs="Arial Narrow"/>
          <w:color w:val="000000"/>
          <w:sz w:val="21"/>
          <w:szCs w:val="21"/>
        </w:rPr>
        <w:t xml:space="preserve"> 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w:t>
      </w:r>
      <w:r>
        <w:rPr>
          <w:rFonts w:ascii="Arial Narrow" w:eastAsia="Arial Narrow" w:hAnsi="Arial Narrow" w:cs="Arial Narrow"/>
          <w:i/>
          <w:iCs/>
          <w:color w:val="000000"/>
          <w:sz w:val="21"/>
          <w:szCs w:val="21"/>
        </w:rPr>
        <w:t>showroom</w:t>
      </w:r>
      <w:r>
        <w:rPr>
          <w:rFonts w:ascii="Arial Narrow" w:eastAsia="Arial Narrow" w:hAnsi="Arial Narrow" w:cs="Arial Narrow"/>
          <w:color w:val="000000"/>
          <w:sz w:val="21"/>
          <w:szCs w:val="21"/>
        </w:rPr>
        <w:t xml:space="preserve"> serán de responsabilidad exclusiva de Eco Plaza.</w:t>
      </w:r>
      <w:r>
        <w:rPr>
          <w:rFonts w:ascii="Verdana" w:eastAsia="Verdana" w:hAnsi="Verdana" w:cs="Verdana"/>
          <w:color w:val="000000"/>
          <w:sz w:val="21"/>
          <w:szCs w:val="21"/>
        </w:rPr>
        <w:t xml:space="preserve"> </w:t>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Sin otro particular, quedamos a su entera disposición para coordinar una reunión, con el objetivo de ampliar cualquier aspecto de la presente propuesta.</w:t>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4CFC5C6C"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p w14:paraId="2802FB04" w14:textId="0718BF0F" w:rsidR="00674549" w:rsidRDefault="00674549">
      <w:pPr>
        <w:spacing w:after="0" w:line="240" w:lineRule="auto"/>
        <w:jc w:val="both"/>
        <w:rPr>
          <w:rFonts w:ascii="Arial Narrow" w:eastAsia="Arial Narrow" w:hAnsi="Arial Narrow" w:cs="Arial Narrow"/>
          <w:b/>
          <w:bCs/>
          <w:sz w:val="21"/>
          <w:szCs w:val="21"/>
        </w:rPr>
      </w:pPr>
    </w:p>
    <w:p w14:paraId="156483B9" w14:textId="5B664BF5" w:rsidR="00674549" w:rsidRDefault="00564C0E">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noProof/>
          <w:color w:val="000000"/>
          <w:sz w:val="21"/>
          <w:szCs w:val="21"/>
        </w:rPr>
        <w:drawing>
          <wp:anchor distT="0" distB="0" distL="114300" distR="114300" simplePos="0" relativeHeight="251660288" behindDoc="0" locked="0" layoutInCell="1" allowOverlap="1" wp14:anchorId="6982FC25" wp14:editId="7AAA93FE">
            <wp:simplePos x="0" y="0"/>
            <wp:positionH relativeFrom="column">
              <wp:posOffset>-36195</wp:posOffset>
            </wp:positionH>
            <wp:positionV relativeFrom="paragraph">
              <wp:posOffset>33655</wp:posOffset>
            </wp:positionV>
            <wp:extent cx="1059180" cy="960120"/>
            <wp:effectExtent l="76200" t="0" r="102870" b="0"/>
            <wp:wrapNone/>
            <wp:docPr id="1512945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800000">
                      <a:off x="0" y="0"/>
                      <a:ext cx="1059180" cy="960120"/>
                    </a:xfrm>
                    <a:prstGeom prst="rect">
                      <a:avLst/>
                    </a:prstGeom>
                    <a:noFill/>
                    <a:ln>
                      <a:noFill/>
                    </a:ln>
                  </pic:spPr>
                </pic:pic>
              </a:graphicData>
            </a:graphic>
          </wp:anchor>
        </w:drawing>
      </w: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2A96B533"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 xml:space="preserve">Arq. </w:t>
      </w:r>
      <w:proofErr w:type="spellStart"/>
      <w:r w:rsidR="00564C0E">
        <w:rPr>
          <w:rFonts w:ascii="Arial Narrow" w:eastAsia="Arial Narrow" w:hAnsi="Arial Narrow" w:cs="Arial Narrow"/>
          <w:b/>
          <w:bCs/>
          <w:sz w:val="21"/>
          <w:szCs w:val="21"/>
        </w:rPr>
        <w:t>Andres</w:t>
      </w:r>
      <w:proofErr w:type="spellEnd"/>
      <w:r w:rsidR="00564C0E">
        <w:rPr>
          <w:rFonts w:ascii="Arial Narrow" w:eastAsia="Arial Narrow" w:hAnsi="Arial Narrow" w:cs="Arial Narrow"/>
          <w:b/>
          <w:bCs/>
          <w:sz w:val="21"/>
          <w:szCs w:val="21"/>
        </w:rPr>
        <w:t xml:space="preserve"> Cortez</w:t>
      </w:r>
    </w:p>
    <w:p w14:paraId="726892B3" w14:textId="38502C30"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Ejecutiv</w:t>
      </w:r>
      <w:r w:rsidR="00564C0E">
        <w:rPr>
          <w:rFonts w:ascii="Arial Narrow" w:eastAsia="Arial Narrow" w:hAnsi="Arial Narrow" w:cs="Arial Narrow"/>
          <w:sz w:val="21"/>
          <w:szCs w:val="21"/>
        </w:rPr>
        <w:t>o</w:t>
      </w:r>
      <w:r>
        <w:rPr>
          <w:rFonts w:ascii="Arial Narrow" w:eastAsia="Arial Narrow" w:hAnsi="Arial Narrow" w:cs="Arial Narrow"/>
          <w:sz w:val="21"/>
          <w:szCs w:val="21"/>
        </w:rPr>
        <w:t xml:space="preserve">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0DDFF2A0" w:rsidR="00674549" w:rsidRDefault="00564C0E">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ccortez</w:t>
      </w:r>
      <w:r w:rsidR="00000000">
        <w:rPr>
          <w:rFonts w:ascii="Arial Narrow" w:eastAsia="Arial Narrow" w:hAnsi="Arial Narrow" w:cs="Arial Narrow"/>
          <w:sz w:val="21"/>
          <w:szCs w:val="21"/>
        </w:rPr>
        <w:t>@ecoplaza.com.pe</w:t>
      </w:r>
    </w:p>
    <w:p w14:paraId="2567997A" w14:textId="0B6E4532"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 xml:space="preserve">Cel: +51 </w:t>
      </w:r>
      <w:r w:rsidR="00564C0E">
        <w:rPr>
          <w:rFonts w:ascii="Arial Narrow" w:eastAsia="Arial Narrow" w:hAnsi="Arial Narrow" w:cs="Arial Narrow"/>
          <w:sz w:val="21"/>
          <w:szCs w:val="21"/>
        </w:rPr>
        <w:t>913 115 778</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429692C-CFA4-427B-8245-1475FE0738FE}"/>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7AEF4CC-0228-477D-8F4A-D558F4C4843A}"/>
    <w:embedBold r:id="rId3" w:fontKey="{6B3B976C-8FFD-4F68-9D01-7F1E6ACCE4B1}"/>
    <w:embedItalic r:id="rId4" w:fontKey="{35B4EC54-D1A9-436A-BB71-38AD55B50C02}"/>
  </w:font>
  <w:font w:name="Play">
    <w:charset w:val="00"/>
    <w:family w:val="auto"/>
    <w:pitch w:val="default"/>
    <w:embedRegular r:id="rId5" w:fontKey="{24FD60A3-95F6-4AAD-B463-CBBE517C8BB0}"/>
  </w:font>
  <w:font w:name="Arial Narrow">
    <w:panose1 w:val="020B0606020202030204"/>
    <w:charset w:val="00"/>
    <w:family w:val="swiss"/>
    <w:pitch w:val="variable"/>
    <w:sig w:usb0="00000287" w:usb1="00000800" w:usb2="00000000" w:usb3="00000000" w:csb0="0000009F" w:csb1="00000000"/>
    <w:embedRegular r:id="rId6" w:fontKey="{07EB9195-B8FC-4F07-A57E-2A177B4FE9BD}"/>
    <w:embedBold r:id="rId7" w:fontKey="{63F8059F-24BA-4FB0-AE26-C3FA3878EB0D}"/>
    <w:embedItalic r:id="rId8" w:fontKey="{65EAB3F5-AC28-4FF9-86BD-99CBBD494F3B}"/>
  </w:font>
  <w:font w:name="Verdana">
    <w:panose1 w:val="020B0604030504040204"/>
    <w:charset w:val="00"/>
    <w:family w:val="swiss"/>
    <w:pitch w:val="variable"/>
    <w:sig w:usb0="A00006FF" w:usb1="4000205B" w:usb2="00000010" w:usb3="00000000" w:csb0="0000019F" w:csb1="00000000"/>
    <w:embedRegular r:id="rId9" w:fontKey="{824D0551-B840-4D23-B27C-6A13BD1F2E2D}"/>
  </w:font>
  <w:font w:name="Quattrocento Sans">
    <w:charset w:val="00"/>
    <w:family w:val="swiss"/>
    <w:pitch w:val="variable"/>
    <w:sig w:usb0="800000BF" w:usb1="4000005B" w:usb2="00000000" w:usb3="00000000" w:csb0="00000001" w:csb1="00000000"/>
    <w:embedBold r:id="rId10" w:fontKey="{5972154F-2C21-48B2-8B62-1B048ED5D3D4}"/>
  </w:font>
  <w:font w:name="Calibri">
    <w:panose1 w:val="020F0502020204030204"/>
    <w:charset w:val="00"/>
    <w:family w:val="swiss"/>
    <w:pitch w:val="variable"/>
    <w:sig w:usb0="E4002EFF" w:usb1="C200247B" w:usb2="00000009" w:usb3="00000000" w:csb0="000001FF" w:csb1="00000000"/>
    <w:embedRegular r:id="rId11" w:fontKey="{8A628D53-6695-4164-9559-1408AA5A5E26}"/>
  </w:font>
  <w:font w:name="Cambria">
    <w:panose1 w:val="02040503050406030204"/>
    <w:charset w:val="00"/>
    <w:family w:val="roman"/>
    <w:pitch w:val="variable"/>
    <w:sig w:usb0="E00006FF" w:usb1="420024FF" w:usb2="02000000" w:usb3="00000000" w:csb0="0000019F" w:csb1="00000000"/>
    <w:embedRegular r:id="rId12" w:fontKey="{01A072DA-71B7-40BD-A7E1-1A7AE16876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564C0E"/>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3063</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3</cp:revision>
  <dcterms:created xsi:type="dcterms:W3CDTF">2026-07-27T17:14:00Z</dcterms:created>
  <dcterms:modified xsi:type="dcterms:W3CDTF">2026-07-27T17:18:00Z</dcterms:modified>
</cp:coreProperties>
</file>