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Li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ma, 14 de julio d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 2026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Sr.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Rafael Guerra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Presente. -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Atención</w:t>
        <w:tab/>
        <w:tab/>
        <w:t xml:space="preserve">:</w:t>
        <w:tab/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Julio Bernuy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Asunto</w:t>
        <w:tab/>
        <w:tab/>
        <w:t xml:space="preserve">:</w:t>
        <w:tab/>
        <w:t xml:space="preserve">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De mi especial consideración: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 un gusto saludarlo. A través de la presente, me permito hacerle llegar nuestra propuesta formal de adquisición respecto al inmueble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ubicado en Jr. Cusco y Jose Luis de Orbegozo, Provincia de Cusco, Departamento del Cusco, inscrit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o en la Partida Electrónica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N° 11222534 de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 registro de bienes inmuebles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Cusco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Luego de una evaluación preliminar de la documentación proporcionada, hemos concluido que la propiedad con un área aproximada d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 2,200 m2,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presenta características estratégicas que se ajustan al perfil de ubicación requerido para el desarrollo de un proyect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comercial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PROPUESTA ECONÓMICA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Precio de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Compra: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US $ 3,080,000 (Tres millones ochenta mil y  00/100 dólares americanos) aproximadamente US$ 1,400 por 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vertAlign w:val="baseline"/>
          <w:rtl w:val="0"/>
        </w:rPr>
        <w:t xml:space="preserve">Estructura y 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la escritura Compraventa y cancelación del precio total al contado con un plazo máximo de 6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Firma de minuta  con el monto de USD $ 50,000 (cincuenta mil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spacing w:after="0" w:line="276" w:lineRule="auto"/>
        <w:ind w:left="1440" w:hanging="36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Al mes 6, firma de la Escritura de Compraventa y cancelación del saldo del precio total.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284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CONDICIONES DE LA OPERACIÓN: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Certificados: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Cinco (5) días hábiles antes de la firma de la Opción de Compra, los propietarios deberán hacer entrega del Certificado de Parámetros Urbanísticos y Edificatorios, y el Certificado de Zonificación y Vías vigentes.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Situación del Inmueble: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predio no debe estar declarado ni en proceso de declaración como patrimonio cultural.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Apoyo en Gestiones: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Los otorgantes se comprometen a suscribir todos los documentos y solicitudes necesarios para la aprobación del anteproyecto en consulta ante la municipalidad competente.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Saneamiento Legal: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El inmueble deberá contar con título inscrito y saneado, libre de cargas, gravámenes, embargos, litigios o cualquier limitación que afecte su libre disponibilidad y transferencia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la fecha del ejercicio de opción de compra.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Obligaciones Tributarias: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Todos los tributos municipales (impuesto predial y arbitrios), tasas y aportes vinculados al predio deberán estar totalmente cancelados a la fecha de la firma de la Compraventa.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Entrega de Documentación: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Durante la vigencia de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realizaremos Due Diligence legal, comercial y técnica, para lo cual los otorgantes facilitarán toda la información requerida sobre el inmueble y/o sus titulares.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43200</wp:posOffset>
            </wp:positionH>
            <wp:positionV relativeFrom="page">
              <wp:posOffset>43200</wp:posOffset>
            </wp:positionV>
            <wp:extent cx="7545070" cy="10658907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6589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Acceso al Predio: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Se requerirá acceso regular al inmueble durante la vigencia 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del plazo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para realizar estudios técnicos y evaluaciones de desarrollo.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49"/>
        <w:jc w:val="both"/>
        <w:rPr>
          <w:rFonts w:ascii="Arial Narrow" w:cs="Arial Narrow" w:eastAsia="Arial Narrow" w:hAnsi="Arial Narrow"/>
          <w:sz w:val="21"/>
          <w:szCs w:val="21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Área Cedida y Publicidad: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 requiere la cesión de uso de un área de 200 m² para el acondicionamiento y uso de una caseta o showroom inmobiliario durante la vigencia del contrato. Asimismo, procederemos a instalar publicidad en el interior y exterior del inmueble para promocionar dicho showroom, sin alterar su estructura. Todo trámite, gestión, costo, autorización administrativa y riesgo derivado de la instalación y mantenimiento de la publicidad y el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showroom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serán de responsabilidad exclusiva de Eco Plaza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Sin otro particular, quedamos a su entera disposición para coordinar una reunión, con el objetivo de ampliar cualquier aspecto de la presente propuesta.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-123822</wp:posOffset>
            </wp:positionH>
            <wp:positionV relativeFrom="paragraph">
              <wp:posOffset>302238</wp:posOffset>
            </wp:positionV>
            <wp:extent cx="1060324" cy="966073"/>
            <wp:effectExtent b="115632" l="102583" r="102583" t="115632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 rot="854949">
                      <a:off x="0" y="0"/>
                      <a:ext cx="1060324" cy="9660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Arq. Andres Cortez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Ejecutivo de área de expansión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ccortez@ecoplaza.com.pe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Cel: +51 920 675 018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sz w:val="21"/>
          <w:szCs w:val="21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72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PE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Z54qVW/2foUvsrJBoNlx1hGmFw==">CgMxLjA4AHIhMTVuUGl5Y1hEdE1kcFNvVk1ISVdvM2ZRcnYwQndjd25p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