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43200</wp:posOffset>
            </wp:positionH>
            <wp:positionV relativeFrom="page">
              <wp:posOffset>43200</wp:posOffset>
            </wp:positionV>
            <wp:extent cx="7545070" cy="10658907"/>
            <wp:effectExtent b="0" l="0" r="0" t="0"/>
            <wp:wrapNone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>
        <w:rPr>
          <w:rFonts w:ascii="Arial Narrow" w:cs="Arial Narrow" w:eastAsia="Arial Narrow" w:hAnsi="Arial Narrow"/>
          <w:bCs w:val="1"/>
          <w:iCs w:val="0"/>
          <w:smallCaps w:val="0"/>
          <w:strike w:val="0"/>
          <w:color w:val="000000"/>
          <w:sz w:val="21"/>
          <w:szCs w:val="21"/>
          <w:shd w:fill="auto" w:val="clear"/>
          <w:vertAlign w:val="baseline"/>
          <w:rtl w:val="0"/>
        </w:rPr>
        <w:t xml:space="preserve">Lima, 12 de agosto de 2026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Señor: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Ing. Humberto Cueva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Presente. -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Atención</w:t>
        <w:tab/>
        <w:tab/>
        <w:t xml:space="preserve">:</w:t>
        <w:tab/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A quién corresponda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Asunto</w:t>
        <w:tab/>
        <w:tab/>
        <w:t xml:space="preserve">:</w:t>
        <w:tab/>
        <w:t xml:space="preserve">Propuesta de Adquisición Inmobiliaria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De mi especial consideración: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Es un gusto saludarlo. A través de la presente, me permito hacerle llegar nuestra propuesta formal de adquisición respecto al inmueble ubica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do en Av. Pedro Miotta N°836 con Jr. Huancabamba N°114, San Juan de Miraflores, Lima, inscrito en la Partida Electrónica N° 42434841 del registro de bienes inmuebles de Lima.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Luego de una evaluación preliminar de la documentación proporcionada, hemos concluido que la propiedad con un área aproximada d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e 1 599.98 m2,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presenta características estratégicas que se ajustan al perfil de ubicación requerido para el desarrollo de un proyecto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comercial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PROPUESTA ECONÓMICA 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>
        <w:rPr>
          <w:rFonts w:ascii="Arial Narrow" w:cs="Arial Narrow" w:eastAsia="Arial Narrow" w:hAnsi="Arial Narrow"/>
          <w:bCs w:val="1"/>
          <w:iCs w:val="0"/>
          <w:smallCaps w:val="0"/>
          <w:strike w:val="0"/>
          <w:color w:val="000000"/>
          <w:sz w:val="21"/>
          <w:szCs w:val="21"/>
          <w:shd w:fill="auto" w:val="clear"/>
          <w:vertAlign w:val="baseline"/>
          <w:rtl w:val="0"/>
        </w:rPr>
        <w:t xml:space="preserve">• Precio de Compra: US $2 559 968.00 (Dos millones quinientos cincuenta y nueve mil novecientos sesenta y ocho 00/100 dólares americanos), equivalente a US $1 600 x m2 aproximadamente.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Estructura y 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ind w:left="1440" w:hanging="360"/>
        <w:jc w:val="both"/>
        <w:rPr>
          <w:rFonts w:ascii="Arial Narrow" w:cs="Arial Narrow" w:eastAsia="Arial Narrow" w:hAnsi="Arial Narrow"/>
          <w:sz w:val="21"/>
          <w:szCs w:val="21"/>
        </w:rPr>
      </w:pPr>
      <w:r>
        <w:rPr>
          <w:rFonts w:ascii="Arial Narrow" w:cs="Arial Narrow" w:eastAsia="Arial Narrow" w:hAnsi="Arial Narrow"/>
          <w:sz w:val="21"/>
          <w:szCs w:val="21"/>
          <w:rtl w:val="0"/>
        </w:rPr>
        <w:t xml:space="preserve">o Pago de  USD $ 70 000 (setenta mil 00/100 dólares americanos) por concepto de Prima de Opción a la firma simultánea de Minuta y Escritura Pública del Contrato de Opción de Compra </w:t>
      </w:r>
    </w:p>
    <w:p w:rsidR="00000000" w:rsidDel="00000000" w:rsidP="00000000" w:rsidRDefault="00000000" w:rsidRPr="00000000" w14:paraId="0000001B">
      <w:pPr>
        <w:numPr>
          <w:ilvl w:val="1"/>
          <w:numId w:val="2"/>
        </w:numPr>
        <w:spacing w:after="0" w:line="240" w:lineRule="auto"/>
        <w:ind w:left="1440" w:hanging="360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Cancelación del saldo al mes 6, a la firma simultánea de Minuta y Escritura Pública de Compraventa.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CONDICIONES DE LA OPERACIÓN: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Entrega de Certificados: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Cinco (5) días hábiles antes de la firma de la Opción de Compra, los propietarios deberán hacer entrega del Certificado de Parámetros Urbanísticos y Edificatorios, y el Certificado de Zonificación y Vías vigentes.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Situación del Inmueble: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El predio no debe estar declarado ni en proceso de declaración como patrimonio cultural.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Apoyo en Gestiones: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Los otorgantes se comprometen a suscribir todos los documentos y solicitudes necesarios para la aprobación del anteproyecto en consulta ante la municipalidad competente.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Saneamiento Legal: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El inmueble deberá contar con título inscrito y saneado, libre de cargas, gravámenes, embargos, litigios o cualquier limitación que afecte su libre disponibilidad y transferencia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 la fecha del ejercicio de opción de compra.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Obligaciones Tributarias: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Todos los tributos municipales (impuesto predial y arbitrios), tasas y aportes vinculados al predio deberán estar totalmente cancelados a la fecha de la firma de la Compraventa.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Entrega de Documentación: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Durante la vigencia de la Opción de Compra, realizaremos Due Diligence legal, comercial y técnica, para lo cual los otorgantes facilitarán toda la información requerida sobre el inmueble y/o sus titulares.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43200</wp:posOffset>
            </wp:positionH>
            <wp:positionV relativeFrom="page">
              <wp:posOffset>43200</wp:posOffset>
            </wp:positionV>
            <wp:extent cx="7545070" cy="10658907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Acceso al Predio: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Se requerirá acceso regular al inmueble durante la vigencia de la opción para realizar estudios técnicos y evaluaciones de desarrollo.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Área Cedida y Publicidad: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Se requiere la cesión de uso de un área de 200 m² para el acondicionamiento y uso de una caseta o showroom inmobiliario durante la vigencia del contrato. Asimismo, procederemos a instalar publicidad en el interior y exterior del inmueble para promocionar dicho showroom, sin alterar su estructura. Todo trámite, gestión, costo, autorización administrativa y riesgo derivado de la instalación y mantenimiento de la publicidad y el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showroom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serán de responsabilidad exclusiva de Eco Plaza.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>
        <w:rPr>
          <w:rFonts w:ascii="Arial Narrow" w:cs="Arial Narrow" w:eastAsia="Arial Narrow" w:hAnsi="Arial Narrow"/>
          <w:bCs w:val="0"/>
          <w:iCs w:val="0"/>
          <w:smallCaps w:val="0"/>
          <w:strike w:val="0"/>
          <w:color w:val="000000"/>
          <w:sz w:val="21"/>
          <w:szCs w:val="21"/>
          <w:shd w:fill="auto" w:val="clear"/>
          <w:vertAlign w:val="baseline"/>
          <w:rtl w:val="0"/>
        </w:rPr>
        <w:t xml:space="preserve"/>
        <w:br/>
        <w:t xml:space="preserve"/>
        <w:br/>
        <w:t xml:space="preserve">Sin otro particular, quedamos a su entera disposición para coordinar una reunión, con el objetivo de ampliar cualquier aspecto de la presente propuesta.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>
        <w:rPr>
          <w:rFonts w:ascii="Arial Narrow" w:cs="Arial Narrow" w:eastAsia="Arial Narrow" w:hAnsi="Arial Narrow"/>
          <w:bCs w:val="0"/>
          <w:iCs w:val="0"/>
          <w:smallCaps w:val="0"/>
          <w:strike w:val="0"/>
          <w:color w:val="000000"/>
          <w:sz w:val="21"/>
          <w:szCs w:val="21"/>
          <w:shd w:fill="auto" w:val="clear"/>
          <w:vertAlign w:val="baseline"/>
          <w:rtl w:val="0"/>
        </w:rPr>
        <w:t xml:space="preserve"/>
        <w:br/>
        <w:t xml:space="preserve"/>
        <w:br/>
        <w:t xml:space="preserve">Atentamente,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-60956</wp:posOffset>
            </wp:positionH>
            <wp:positionV relativeFrom="paragraph">
              <wp:posOffset>200768</wp:posOffset>
            </wp:positionV>
            <wp:extent cx="1276350" cy="848207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8482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Arq. Keiko Ramirez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Ejecutiva de área de expansión 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GRUPO ECOPLAZA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k.ramirez@ecoplaza.com.pe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>
        <w:rPr>
          <w:rFonts w:ascii="Arial Narrow" w:cs="Arial Narrow" w:eastAsia="Arial Narrow" w:hAnsi="Arial Narrow"/>
          <w:sz w:val="21"/>
          <w:szCs w:val="21"/>
          <w:rtl w:val="0"/>
        </w:rPr>
        <w:t xml:space="preserve">Cel: +51 982 102 679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sz w:val="21"/>
          <w:szCs w:val="21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985" w:top="1985" w:left="1701" w:right="17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Arial Narrow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Quattrocento Sans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Noto Sans Symbols">
    <w:embedRegular w:fontKey="{00000000-0000-0000-0000-000000000000}" r:id="rId11" w:subsetted="0"/>
    <w:embedBold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lowerLetter"/>
      <w:lvlText w:val="%1)"/>
      <w:lvlJc w:val="left"/>
      <w:pPr>
        <w:ind w:left="1080" w:hanging="72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s-PE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ArialNarrow-regular.ttf"/><Relationship Id="rId4" Type="http://schemas.openxmlformats.org/officeDocument/2006/relationships/font" Target="fonts/ArialNarrow-bold.ttf"/><Relationship Id="rId11" Type="http://schemas.openxmlformats.org/officeDocument/2006/relationships/font" Target="fonts/NotoSansSymbols-regular.ttf"/><Relationship Id="rId10" Type="http://schemas.openxmlformats.org/officeDocument/2006/relationships/font" Target="fonts/QuattrocentoSans-boldItalic.ttf"/><Relationship Id="rId12" Type="http://schemas.openxmlformats.org/officeDocument/2006/relationships/font" Target="fonts/NotoSansSymbols-bold.ttf"/><Relationship Id="rId9" Type="http://schemas.openxmlformats.org/officeDocument/2006/relationships/font" Target="fonts/QuattrocentoSans-italic.ttf"/><Relationship Id="rId5" Type="http://schemas.openxmlformats.org/officeDocument/2006/relationships/font" Target="fonts/ArialNarrow-italic.ttf"/><Relationship Id="rId6" Type="http://schemas.openxmlformats.org/officeDocument/2006/relationships/font" Target="fonts/ArialNarrow-boldItalic.ttf"/><Relationship Id="rId7" Type="http://schemas.openxmlformats.org/officeDocument/2006/relationships/font" Target="fonts/QuattrocentoSans-regular.ttf"/><Relationship Id="rId8" Type="http://schemas.openxmlformats.org/officeDocument/2006/relationships/font" Target="fonts/Quattrocento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n6/4UWfyTfywYlP5Xdmyzk+SmQ==">CgMxLjA4AHIhMUVwU19ERWxvTzRHSU04MHB5Z0xzOUhOZkNlMG1uUWdR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