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Li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ma, 06 de julio d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 2026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Señor(es):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Walher Constructora Contratista Internacional S.A.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Presente. -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Atención</w:t>
        <w:tab/>
        <w:tab/>
        <w:t xml:space="preserve">:</w:t>
        <w:tab/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A quien corresponda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Asunto</w:t>
        <w:tab/>
        <w:tab/>
        <w:t xml:space="preserve">:</w:t>
        <w:tab/>
        <w:t xml:space="preserve">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De mi especial consideración: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 un gusto saludarlo. A través de la presente, me permito hacerle llegar nuestra propuesta formal de adquisición respecto al inmueble ubicado 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n Carretera Central con Av. Horacio Zevallos, Huaycán Ate, Lima, inscrit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o en la Partida Electrónica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N° 11162410 de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 registro de bienes inmuebles de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Lima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Luego de una evaluación preliminar de la documentación proporcionada, hemos concluido que la propiedad con un área aproximada d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 7 531.63 m2,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proyecto mixto de vivienda comercio.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PROPUESTA ECONÓMICA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Precio de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Compra: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US $5 648 722.50 (Cinco millones seiscientos cuarenta y ocho mil setecientos veinte y dos 50/100 dólares americanos), equivalente a US $750.00 por m2 aproximadamente.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Estructura y 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spacing w:after="0" w:line="240" w:lineRule="auto"/>
        <w:ind w:left="1440" w:hanging="36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Pago de  USD $ 80 000 (ochenta mil 00/100 dólares americanos) por concepto de Prima de Opción a la firma simultánea de Minuta y Escritura Pública del Contrato de Opción de Compra </w:t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spacing w:after="0" w:line="240" w:lineRule="auto"/>
        <w:ind w:left="1440" w:hanging="36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Cancelación del saldo al mes 6, a la firma simultánea de Minuta y Escritura Pública de Compraventa.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CONDICIONES DE LA OPERACIÓN: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Certificados: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Cinco (5) días hábiles antes de la firma de la Opción de Compra, los propietarios deberán hacer entrega del Certificado de Parámetros Urbanísticos y Edificatorios, y el Certificado de Zonificación y Vías vigentes.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Situación del Inmueble: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predio no debe estar declarado ni en proceso de declaración como patrimonio cultural.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Apoyo en Gestiones: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Los otorgantes se comprometen a suscribir todos los documentos y solicitudes necesarios para la aprobación del anteproyecto en consulta ante la municipalidad competente.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Saneamiento Legal: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inmueble deberá contar con título inscrito y saneado, libre de cargas, gravámenes, embargos, litigios o cualquier limitación que afecte su libre disponibilidad y transferencia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la fecha del ejercicio de opción de compra.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Obligaciones Tributarias: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Todos los tributos municipales (impuesto predial y arbitrios), tasas y aportes vinculados al predio deberán estar totalmente cancelados a la fecha de la firma de la Compraventa.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Documentación: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Durante la vigencia de la Opción de Compra, realizaremos Due Diligence legal, comercial y técnica, para lo cual los otorgantes facilitarán toda la información requerida sobre el inmueble y/o sus titulares.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Acceso al Predio: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requerirá acceso regular al inmueble durante la vigencia de la opción para realizar estudios técnicos y evaluaciones de desarrollo.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Área Cedida y Publicidad: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requiere la cesión de uso de un área de 200 m² para el acondicionamiento y uso de una caseta o showroom inmobiliario durante la vigencia del contrato. Asimismo, procederemos a instalar publicidad en el interior y exterior del inmueble para promocionar dicho showroom, sin alterar su estructura. Todo trámite, gestión, costo, autorización administrativa y riesgo derivado de la instalación y mantenimiento de la publicidad y el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showroom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serán de responsabilidad exclusiva de Eco Plaza.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Sin otro particular, quedamos a su entera disposición para coordinar una reunión, con el objetivo de ampliar cualquier aspecto de la presente propuesta.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-60958</wp:posOffset>
            </wp:positionH>
            <wp:positionV relativeFrom="paragraph">
              <wp:posOffset>200768</wp:posOffset>
            </wp:positionV>
            <wp:extent cx="1276350" cy="848207"/>
            <wp:effectExtent b="0" l="0" r="0" t="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482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Arq. Keiko Ramirez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Ejecutiva de área de expansión 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GRUPO ECOPLAZA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k.ramirez@ecoplaza.com.pe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sz w:val="21"/>
          <w:szCs w:val="2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985" w:top="1985" w:left="1701" w:right="17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Quattrocen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)"/>
      <w:lvlJc w:val="left"/>
      <w:pPr>
        <w:ind w:left="1080" w:hanging="72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PE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11" Type="http://schemas.openxmlformats.org/officeDocument/2006/relationships/font" Target="fonts/NotoSansSymbols-regular.ttf"/><Relationship Id="rId10" Type="http://schemas.openxmlformats.org/officeDocument/2006/relationships/font" Target="fonts/QuattrocentoSans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QuattrocentoSans-italic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Relationship Id="rId7" Type="http://schemas.openxmlformats.org/officeDocument/2006/relationships/font" Target="fonts/QuattrocentoSans-regular.ttf"/><Relationship Id="rId8" Type="http://schemas.openxmlformats.org/officeDocument/2006/relationships/font" Target="fonts/Quattrocento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djvf95I0MYk1E8/bXuYMa8NTsA==">CgMxLjA4AHIhMTVNbjFGMFlMZ1VOM1dyN1ZXdm9uUEQ1RHYxdzhqTWxO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