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01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junio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SRS.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Remo Carita Quintana y hermanos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ubicad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o en Vía Expresa, Sublote 03 en Av. Prol. Av. Surco, Santiago de Surco, Lima.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aproximada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de 5 417.91 m²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inscrita en la partida registral N°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15261179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presenta características estratégicas que se ajustan al perfil de ubicación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comercial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5’417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910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Cinco millones cuatrocientos diecisiete mil novecientos diez 100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/100 dólares americanos),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equivalente a USD $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1 000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por m² aproximadamente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6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8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ochenta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mil 00/100 dólares americanos)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6, firma de la Escritura de Compraventa y cancelación del saldo del precio total.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2" name="image1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13</wp:posOffset>
            </wp:positionH>
            <wp:positionV relativeFrom="paragraph">
              <wp:posOffset>209550</wp:posOffset>
            </wp:positionV>
            <wp:extent cx="1284172" cy="866307"/>
            <wp:effectExtent b="0" l="0" r="0" t="0"/>
            <wp:wrapNone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4172" cy="8663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Arquitecta de Equipamientos </w:t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GRUPO ECOPLAZA</w:t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k.ramirez@ecoplaza.com.pe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Cel: +51 914 521 910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SBDjiDVyRK2r7DCbm7NkuiB/0w==">CgMxLjA4AHIhMVFIc2NoNmRDTVQxVVFKYmNwa3Z4SEI1aDk1dE9BSy1V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