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righ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Lima,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20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abril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de 2026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SR.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JUAN HIGA OSHIRO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ATT.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JAHUAYMAR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 S.A.C.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Presente. –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 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Asunto: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Propuesta de Adquisición Inmobiliaria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mi especial consideración: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Es un gusto saludarlo. A través de la presente, me permito hacerle llegar nuestra propuesta formal de adquisición respecto del inmueble ubicad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o en Av. Alfonso Ugarte con Av. El Progreso, Lote 12, Fundo La Estrella, Ate, Lima.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Luego de una evaluación preliminar de la documentación proporcionada, hemos concluido que parte de la propiedad con un área aproximada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 de 10 067.50 m²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inscrita en la partida registral N°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44840227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presenta características estratégicas que se ajustan al perfil de ubicación requerido para el desarrollo de un proyecto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comercial mixto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En ese sentido, presentamos nuestra propuesta de adquisición bajo los siguientes términos y condiciones: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284" w:right="0" w:hanging="36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PROPUESTA ECONÓMICA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Precio ofrecido: USD $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4’027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000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Cuatro millones veintisiete mil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00/100 dólares americanos),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equivalente a USD $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400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.00 por m² aproximadamente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09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Modalidad de pago: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Firma de opción de Compra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por 6 meses con el monto de USD $ 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10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0 000 (</w:t>
      </w: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cien</w:t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mil 00/100 dólares americanos)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134" w:right="0" w:hanging="36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Al mes 6, firma de la Escritura de Compraventa y cancelación del saldo del precio total.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CONDICIONES DE COMPRA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I. El inmueble deberá contar con título inscrito y saneado, libre de cargas, gravámenes, embargos, litigios u otras limitaciones que afecten su libre transferencia.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II. Todos los tributos, arbitrios, tasas y obligaciones vinculadas al predio deberán encontrarse debidamente cancelados a la fecha de firma de la Compraventa.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7557655" cy="10685941"/>
            <wp:effectExtent b="0" l="0" r="0" t="0"/>
            <wp:wrapNone/>
            <wp:docPr descr="Imagen que contiene Icono&#10;&#10;El contenido generado por IA puede ser incorrecto." id="3" name="image1.jpg"/>
            <a:graphic>
              <a:graphicData uri="http://schemas.openxmlformats.org/drawingml/2006/picture">
                <pic:pic>
                  <pic:nvPicPr>
                    <pic:cNvPr descr="Imagen que contiene Icono&#10;&#10;El contenido generado por IA puede ser incorrecto.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III. Durante el plazo de opción de compra, se llevará a cabo un proceso de Due Diligence legal, comercial y técnico, así como se realizará un anteproyecto en consulta en la municipalidad, se debe obtener la aprobación del anteproyecto como requisito previo al pago de la cancelación del terreno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IV. Solicitamos acceso regular al predio durante dicho período para efectos de evaluación técnica y de desarrollo, así como la autorización para instalar una caseta o showroom de exhibición temporal en un área cedida de 200 m2.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0" w:hanging="283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7655" cy="10685941"/>
            <wp:effectExtent b="0" l="0" r="0" t="0"/>
            <wp:wrapNone/>
            <wp:docPr id="5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57655" cy="1068594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Quedamos a su disposición para coordinar una reunión o ampliar cualquier aspecto de esta propuesta.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Agradeciendo de antemano su atención, quedo a la espera de sus comentarios.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Muy cordialmente,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Atentamente,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</wp:posOffset>
            </wp:positionH>
            <wp:positionV relativeFrom="paragraph">
              <wp:posOffset>209550</wp:posOffset>
            </wp:positionV>
            <wp:extent cx="1284172" cy="866307"/>
            <wp:effectExtent b="0" l="0" r="0" t="0"/>
            <wp:wrapNone/>
            <wp:docPr id="4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4172" cy="86630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-177792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347780" y="3780000"/>
                          <a:ext cx="199644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chemeClr val="dk1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-177792</wp:posOffset>
                </wp:positionH>
                <wp:positionV relativeFrom="paragraph">
                  <wp:posOffset>147956</wp:posOffset>
                </wp:positionV>
                <wp:extent cx="31750" cy="3175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750" cy="317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Arq. Keiko Ramirez</w:t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Arquitecta de Equipamientos 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b w:val="1"/>
          <w:bCs w:val="1"/>
          <w:sz w:val="20"/>
          <w:szCs w:val="20"/>
          <w:rtl w:val="0"/>
        </w:rPr>
        <w:t xml:space="preserve">GRUPO ECOPLAZA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Quattrocento Sans" w:cs="Quattrocento Sans" w:eastAsia="Quattrocento Sans" w:hAnsi="Quattrocento Sans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k.ramirez@ecoplaza.com.pe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Quattrocento Sans" w:cs="Quattrocento Sans" w:eastAsia="Quattrocento Sans" w:hAnsi="Quattrocento Sans"/>
          <w:b w:val="1"/>
          <w:bCs w:val="1"/>
          <w:sz w:val="20"/>
          <w:szCs w:val="20"/>
        </w:rPr>
      </w:pPr>
      <w:r w:rsidDel="00000000" w:rsidR="00000000" w:rsidRPr="00000000">
        <w:rPr>
          <w:rFonts w:ascii="Quattrocento Sans" w:cs="Quattrocento Sans" w:eastAsia="Quattrocento Sans" w:hAnsi="Quattrocento Sans"/>
          <w:sz w:val="20"/>
          <w:szCs w:val="20"/>
          <w:rtl w:val="0"/>
        </w:rPr>
        <w:t xml:space="preserve">Cel: +51 914 521 910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2268" w:top="2269" w:left="1701" w:right="14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Verdana"/>
  <w:font w:name="Courier New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PE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oPdo2YEehdedyl+yGOAh4Wmt+Q==">CgMxLjA4AHIhMTFXa2RBNjdOQjVVVlZKaFpqM0VMbnBuUnBleWVicUY1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