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righ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Li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ma, 11 de julio d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 2026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rta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):</w:t>
      </w:r>
    </w:p>
    <w:p w:rsidR="00000000" w:rsidDel="00000000" w:rsidP="00000000" w:rsidRDefault="00000000" w:rsidRPr="00000000" w14:paraId="00000006">
      <w:pPr>
        <w:spacing w:after="0" w:line="240" w:lineRule="auto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Katya Suarez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Presente. -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Atención</w:t>
        <w:tab/>
        <w:tab/>
        <w:t xml:space="preserve">:</w:t>
        <w:tab/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A quien corresponda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Asunto</w:t>
        <w:tab/>
        <w:tab/>
        <w:t xml:space="preserve">:</w:t>
        <w:tab/>
        <w:t xml:space="preserve">Propuesta de Adquisición Inmobiliaria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De mi especial consideración: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Es un gusto saludarlo. A través de la presente, me permito hacerle llegar nuestra propuesta formal de adquisición respecto al inmueble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 ubicado en Av 6 de Diciembre con Pte Wilson, con numero de predio 12285, 51985 y 72454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Luego de una evaluación preliminar de la documentación proporcionada, hemos concluido que la propiedad con un área aproximada d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 867 m2,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presenta características estratégicas que se ajustan al perfil de ubicación requerido para el desarrollo de un proyecto mixto de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vivienda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comercio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.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 ese sentido, presentamos nuestra propuesta de adquisición bajo los siguientes términos y condiciones: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PROPUESTA ECONÓMICA 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Precio de</w:t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Compra: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US $700 000.00 (Setecientos mil y  00/100 dólares americanos)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Quattrocento Sans" w:cs="Quattrocento Sans" w:eastAsia="Quattrocento Sans" w:hAnsi="Quattrocento Sans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hanging="284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CONDICIONES DE LA OPERACIÓN: 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426" w:right="0" w:firstLine="0"/>
        <w:jc w:val="left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Certificados: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Cinco (5) días hábiles antes de la firma de la Opción de Compra, los propietarios deberán hacer entrega del Certificado de Parámetros Urbanísticos y Edificatorios, y el Certificado de Zonificación y Vías vigentes.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Situación del Inmueble: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predio no debe estar declarado ni en proceso de declaración como patrimonio cultural.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Apoyo en Gestiones: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Los otorgantes se comprometen a suscribir todos los documentos y solicitudes necesarios para la aprobación del anteproyecto en consulta ante la municipalidad competente.</w:t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Saneamiento Legal: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El inmueble deberá contar con título inscrito y saneado, libre de cargas, gravámenes, embargos, litigios o cualquier limitación que afecte su libre disponibilidad y transferencia</w:t>
      </w:r>
      <w:r w:rsidDel="00000000" w:rsidR="00000000" w:rsidRPr="00000000">
        <w:rPr>
          <w:rFonts w:ascii="Aptos" w:cs="Aptos" w:eastAsia="Aptos" w:hAnsi="Aptos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la fecha del ejercicio de opción de compra. 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Obligaciones Tributarias: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Todos los tributos municipales (impuesto predial y arbitrios), tasas y aportes vinculados al predio deberán estar totalmente cancelados a la fecha de la firma de la Compraventa. 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Entrega de Documentación: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Durante la vigencia de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, realizaremos Due Diligence legal, comercial y técnica, para lo cual los otorgantes facilitarán toda la información requerida sobre el inmueble y/o sus titulares.</w:t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9" w:right="0" w:hanging="349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43200</wp:posOffset>
            </wp:positionH>
            <wp:positionV relativeFrom="page">
              <wp:posOffset>43200</wp:posOffset>
            </wp:positionV>
            <wp:extent cx="7545070" cy="10658907"/>
            <wp:effectExtent b="0" l="0" r="0" t="0"/>
            <wp:wrapNone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45070" cy="1065890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Acceso al Predio: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Se requerirá acceso regular al inmueble durante la vigencia </w:t>
      </w: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del plazo</w:t>
      </w: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 para realizar estudios técnicos y evaluaciones de desarrollo.</w:t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Sin otro particular, quedamos a su entera disposición para coordinar una reunión, con el objetivo de ampliar cualquier aspecto de la presente propuesta.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Atentamente,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-123823</wp:posOffset>
            </wp:positionH>
            <wp:positionV relativeFrom="paragraph">
              <wp:posOffset>302238</wp:posOffset>
            </wp:positionV>
            <wp:extent cx="1060324" cy="966073"/>
            <wp:effectExtent b="115632" l="102583" r="102583" t="115632"/>
            <wp:wrapNone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 rot="854949">
                      <a:off x="0" y="0"/>
                      <a:ext cx="1060324" cy="9660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Arq. Andres Cortez</w:t>
      </w:r>
    </w:p>
    <w:p w:rsidR="00000000" w:rsidDel="00000000" w:rsidP="00000000" w:rsidRDefault="00000000" w:rsidRPr="00000000" w14:paraId="0000002F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Ejecutivo de área de expansión </w:t>
      </w:r>
    </w:p>
    <w:p w:rsidR="00000000" w:rsidDel="00000000" w:rsidP="00000000" w:rsidRDefault="00000000" w:rsidRPr="00000000" w14:paraId="00000030">
      <w:pPr>
        <w:spacing w:after="0" w:line="240" w:lineRule="auto"/>
        <w:jc w:val="both"/>
        <w:rPr>
          <w:rFonts w:ascii="Arial Narrow" w:cs="Arial Narrow" w:eastAsia="Arial Narrow" w:hAnsi="Arial Narrow"/>
          <w:b w:val="1"/>
          <w:bCs w:val="1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bCs w:val="1"/>
          <w:sz w:val="21"/>
          <w:szCs w:val="21"/>
          <w:rtl w:val="0"/>
        </w:rPr>
        <w:t xml:space="preserve">GRUPO ECOPLAZA</w:t>
      </w:r>
    </w:p>
    <w:p w:rsidR="00000000" w:rsidDel="00000000" w:rsidP="00000000" w:rsidRDefault="00000000" w:rsidRPr="00000000" w14:paraId="00000031">
      <w:pPr>
        <w:spacing w:after="0" w:line="240" w:lineRule="auto"/>
        <w:jc w:val="both"/>
        <w:rPr>
          <w:rFonts w:ascii="Arial Narrow" w:cs="Arial Narrow" w:eastAsia="Arial Narrow" w:hAnsi="Arial Narrow"/>
          <w:sz w:val="21"/>
          <w:szCs w:val="21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ccortez@ecoplaza.com.pe</w:t>
      </w:r>
    </w:p>
    <w:p w:rsidR="00000000" w:rsidDel="00000000" w:rsidP="00000000" w:rsidRDefault="00000000" w:rsidRPr="00000000" w14:paraId="00000032">
      <w:pPr>
        <w:spacing w:after="0" w:line="240" w:lineRule="auto"/>
        <w:jc w:val="both"/>
        <w:rPr>
          <w:rFonts w:ascii="Quattrocento Sans" w:cs="Quattrocento Sans" w:eastAsia="Quattrocento Sans" w:hAnsi="Quattrocento Sans"/>
          <w:b w:val="1"/>
          <w:bCs w:val="1"/>
          <w:sz w:val="20"/>
          <w:szCs w:val="20"/>
        </w:rPr>
      </w:pPr>
      <w:r w:rsidDel="00000000" w:rsidR="00000000" w:rsidRPr="00000000">
        <w:rPr>
          <w:rFonts w:ascii="Arial Narrow" w:cs="Arial Narrow" w:eastAsia="Arial Narrow" w:hAnsi="Arial Narrow"/>
          <w:sz w:val="21"/>
          <w:szCs w:val="21"/>
          <w:rtl w:val="0"/>
        </w:rPr>
        <w:t xml:space="preserve">Cel: +51 920 675 018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sz w:val="21"/>
          <w:szCs w:val="21"/>
          <w:highlight w:val="lightGray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985" w:top="1985" w:left="1701" w:right="170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ourier New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Quattrocento Sans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  <w:font w:name="Noto Sans Symbols">
    <w:embedRegular w:fontKey="{00000000-0000-0000-0000-000000000000}" r:id="rId11" w:subsetted="0"/>
    <w:embedBold w:fontKey="{00000000-0000-0000-0000-000000000000}" r:id="rId1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lowerLetter"/>
      <w:lvlText w:val="%1)"/>
      <w:lvlJc w:val="left"/>
      <w:pPr>
        <w:ind w:left="1080" w:hanging="720"/>
      </w:pPr>
      <w:rPr>
        <w:b w:val="1"/>
        <w:bCs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s-PE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1" Type="http://schemas.openxmlformats.org/officeDocument/2006/relationships/font" Target="fonts/NotoSansSymbols-regular.ttf"/><Relationship Id="rId10" Type="http://schemas.openxmlformats.org/officeDocument/2006/relationships/font" Target="fonts/QuattrocentoSans-boldItalic.ttf"/><Relationship Id="rId12" Type="http://schemas.openxmlformats.org/officeDocument/2006/relationships/font" Target="fonts/NotoSansSymbols-bold.ttf"/><Relationship Id="rId9" Type="http://schemas.openxmlformats.org/officeDocument/2006/relationships/font" Target="fonts/QuattrocentoSans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QuattrocentoSans-regular.ttf"/><Relationship Id="rId8" Type="http://schemas.openxmlformats.org/officeDocument/2006/relationships/font" Target="fonts/QuattrocentoSan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mFh3hClwZc/GSXyZwYiqkCR+8Q==">CgMxLjA4AHIhMU41aVBTS05jbExHMTJMTlREaGlyRGxBS1prVHg0OERK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