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Li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ma, 08 de julio d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2026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Señor(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a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):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MIGUEL HEINZ M. WÜST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Presente. -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Atención</w:t>
        <w:tab/>
        <w:tab/>
        <w:t xml:space="preserve">:</w:t>
        <w:tab/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A quien corresponda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Asunto</w:t>
        <w:tab/>
        <w:tab/>
        <w:t xml:space="preserve">:</w:t>
        <w:tab/>
        <w:t xml:space="preserve">Propuesta de Adquisición Inmobiliaria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De mi especial consideración: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Es un gusto saludarlo. A través de la presente, me permito hacerle llegar nuestra propuesta formal de adquisición respecto al inmueble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ubicado en Jr. Ayacucho 815 - 825, Magdalena del Mar, Lima, inscrit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o en la Partida Electrónica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N° 07020957 de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l registro de bienes inmuebles de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Lima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Luego de una evaluación preliminar de la documentación proporcionada, hemos concluido que la propiedad con un área aproximada d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 545 m2,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presenta características estratégicas que se ajustan al perfil de ubicación requerido para el desarrollo de un proyecto mixto de vivienda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comercio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 ese sentido, presentamos nuestra propuesta de adquisición bajo los siguientes términos y condiciones: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PROPUESTA ECONÓMICA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Precio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Compra: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US $750 000.00 (Setecientos cincuenta mil y  00/100 dólares americanos)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Estructura y Modalidad de pago: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Firma de la escritura Compraventa y cancelación del precio total al contado con un plazo máximo de 90 (noventa) días calendario.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Firma de minuta  con el monto de USD $ 20,000 (veinte mil 00/100 dólares americanos)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spacing w:after="0" w:line="276" w:lineRule="auto"/>
        <w:ind w:left="1440" w:hanging="36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Al día 90, firma de la Escritura de Compraventa y cancelación del saldo del precio total.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CONDICIONES DE LA OPERACIÓN: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Certificados: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Cinco (5) días hábiles antes de la firma de la Opción de Compra, los propietarios deberán hacer entrega del Certificado de Parámetros Urbanísticos y Edificatorios, y el Certificado de Zonificación y Vías vigentes.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Situación del Inmueble: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predio no debe estar declarado ni en proceso de declaración como patrimonio cultural.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Apoyo en Gestiones: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Los otorgantes se comprometen a suscribir todos los documentos y solicitudes necesarios para la aprobación del anteproyecto en consulta ante la municipalidad competente.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Saneamiento Legal: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inmueble deberá contar con título inscrito y saneado, libre de cargas, gravámenes, embargos, litigios o cualquier limitación que afecte su libre disponibilidad y transferencia</w:t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la fecha del ejercicio de opción de compra.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Obligaciones Tributarias: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Todos los tributos municipales (impuesto predial y arbitrios), tasas y aportes vinculados al predio deberán estar totalmente cancelados a la fecha de la firma de la Compraventa.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Documentación: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Durante la vigencia de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realizaremos Due Diligence legal, comercial y técnica, para lo cual los otorgantes facilitarán toda la información requerida sobre el inmueble y/o sus titulares.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Acceso al Predio: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Se requerirá acceso regular al inmueble durante la vigencia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para realizar estudios técnicos y evaluaciones de desarrollo.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Sin otro particular, quedamos a su entera disposición para coordinar una reunión, con el objetivo de ampliar cualquier aspecto de la presente propuesta.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Atentamente,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-123824</wp:posOffset>
            </wp:positionH>
            <wp:positionV relativeFrom="paragraph">
              <wp:posOffset>302239</wp:posOffset>
            </wp:positionV>
            <wp:extent cx="1060324" cy="966073"/>
            <wp:effectExtent b="115632" l="102583" r="102583" t="115632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854949">
                      <a:off x="0" y="0"/>
                      <a:ext cx="1060324" cy="9660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Arq. Andres Cortez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Ejecutivo de área de expansión 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GRUPO ECOPLAZA</w:t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ccortez@ecoplaza.com.pe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Quattrocento Sans" w:cs="Quattrocento Sans" w:eastAsia="Quattrocento Sans" w:hAnsi="Quattrocento Sans"/>
          <w:b w:val="1"/>
          <w:bCs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Cel: +51 920 675 018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sz w:val="21"/>
          <w:szCs w:val="2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985" w:top="1985" w:left="1701" w:right="17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Quattrocento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Noto Sans Symbols">
    <w:embedRegular w:fontKey="{00000000-0000-0000-0000-000000000000}" r:id="rId11" w:subsetted="0"/>
    <w:embedBold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1080" w:hanging="72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PE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11" Type="http://schemas.openxmlformats.org/officeDocument/2006/relationships/font" Target="fonts/NotoSansSymbols-regular.ttf"/><Relationship Id="rId10" Type="http://schemas.openxmlformats.org/officeDocument/2006/relationships/font" Target="fonts/QuattrocentoSans-boldItalic.ttf"/><Relationship Id="rId12" Type="http://schemas.openxmlformats.org/officeDocument/2006/relationships/font" Target="fonts/NotoSansSymbols-bold.ttf"/><Relationship Id="rId9" Type="http://schemas.openxmlformats.org/officeDocument/2006/relationships/font" Target="fonts/QuattrocentoSans-italic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QuattrocentoSans-regular.ttf"/><Relationship Id="rId8" Type="http://schemas.openxmlformats.org/officeDocument/2006/relationships/font" Target="fonts/Quattrocento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gA4/RqAbWqfPhAhTt3QS1hgquA==">CgMxLjA4AHIhMW1DY3hMb1I5dnVEUVhBVjVrTkxwaUJFRFF5bWV2dm01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