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sz w:val="20"/>
          <w:szCs w:val="20"/>
          <w:vertAlign w:val="baseline"/>
          <w:rtl w:val="0"/>
        </w:rPr>
        <w:t xml:space="preserve">SR. GENARO FERNANDEZ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sz w:val="20"/>
          <w:szCs w:val="20"/>
          <w:highlight w:val="yellow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Francisco Bolognesi 802, Barranco, Lima.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391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m² inscrita en las partid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as registrales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N° 49020991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, N° 42021512, presenta características estratégicas que se ajustan al perfil de ubicación requerido para el des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mixto de vivienda comercio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600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Seiscientos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left="72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after="0" w:lineRule="auto"/>
        <w:ind w:left="1133.858267716535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minuta  con el monto de USD $ 20,000 (veinte mil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after="0" w:lineRule="auto"/>
        <w:ind w:left="1133.858267716535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día 90, firma de la Escritura de Compraventa y cancelación del saldo del precio total.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E">
      <w:pPr>
        <w:spacing w:after="0" w:line="240" w:lineRule="auto"/>
        <w:ind w:left="567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25725</wp:posOffset>
            </wp:positionH>
            <wp:positionV relativeFrom="page">
              <wp:posOffset>9900</wp:posOffset>
            </wp:positionV>
            <wp:extent cx="7557655" cy="10685941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-142874</wp:posOffset>
            </wp:positionH>
            <wp:positionV relativeFrom="paragraph">
              <wp:posOffset>235966</wp:posOffset>
            </wp:positionV>
            <wp:extent cx="1060324" cy="966073"/>
            <wp:effectExtent b="115632" l="102583" r="102583" t="115632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-187314</wp:posOffset>
                </wp:positionH>
                <wp:positionV relativeFrom="paragraph">
                  <wp:posOffset>138432</wp:posOffset>
                </wp:positionV>
                <wp:extent cx="50800" cy="508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-187314</wp:posOffset>
                </wp:positionH>
                <wp:positionV relativeFrom="paragraph">
                  <wp:posOffset>138432</wp:posOffset>
                </wp:positionV>
                <wp:extent cx="50800" cy="508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Andres Cortez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nMZVq6Qorigdrl0YdCU6W6oNtQ==">CgMxLjA4AHIhMTYwd0dTU3loV0Q0TE9hOVpIc2haTXUxRmZMZU80RXZW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